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84" w:rsidRDefault="00875584" w:rsidP="00875584">
      <w:pPr>
        <w:pBdr>
          <w:bottom w:val="single" w:sz="4" w:space="1" w:color="auto"/>
        </w:pBdr>
        <w:tabs>
          <w:tab w:val="right" w:pos="9000"/>
        </w:tabs>
      </w:pPr>
      <w:r>
        <w:t>August 2020</w:t>
      </w:r>
      <w:r>
        <w:tab/>
        <w:t>2:260-AP1</w:t>
      </w:r>
    </w:p>
    <w:p w:rsidR="00875584" w:rsidRDefault="00875584" w:rsidP="00875584">
      <w:pPr>
        <w:tabs>
          <w:tab w:val="right" w:pos="9000"/>
        </w:tabs>
      </w:pPr>
    </w:p>
    <w:p w:rsidR="00875584" w:rsidRDefault="00875584" w:rsidP="00875584">
      <w:pPr>
        <w:pStyle w:val="Heading1"/>
      </w:pPr>
      <w:r>
        <w:t>School Board</w:t>
      </w:r>
    </w:p>
    <w:p w:rsidR="00875584" w:rsidRDefault="00875584" w:rsidP="00875584">
      <w:pPr>
        <w:pStyle w:val="Heading2"/>
        <w:rPr>
          <w:spacing w:val="-2"/>
        </w:rPr>
      </w:pPr>
      <w:r>
        <w:t>Administrative Procedure - Guidelines for Investigating Complaints F</w:t>
      </w:r>
      <w:r w:rsidRPr="00090FD9">
        <w:t xml:space="preserve">iled </w:t>
      </w:r>
      <w:r>
        <w:t>U</w:t>
      </w:r>
      <w:r w:rsidRPr="00090FD9">
        <w:t xml:space="preserve">nder </w:t>
      </w:r>
      <w:r>
        <w:t>P</w:t>
      </w:r>
      <w:r w:rsidRPr="00090FD9">
        <w:t>olicy 2:260,</w:t>
      </w:r>
      <w:r w:rsidRPr="00720AC3">
        <w:t xml:space="preserve"> Uniform Grievance Procedure,</w:t>
      </w:r>
      <w:r w:rsidRPr="00090FD9">
        <w:t xml:space="preserve"> </w:t>
      </w:r>
      <w:r>
        <w:t>and Allegations of Misconduct</w:t>
      </w:r>
    </w:p>
    <w:p w:rsidR="00875584" w:rsidRDefault="00875584" w:rsidP="00875584">
      <w:pPr>
        <w:pStyle w:val="BodyText"/>
      </w:pPr>
      <w:r>
        <w:t>All complaints are to be investigated, even when the complainant requests that nothing be done or is anonymous.</w:t>
      </w:r>
    </w:p>
    <w:p w:rsidR="00875584" w:rsidRPr="00EF7F10" w:rsidRDefault="00875584" w:rsidP="00875584">
      <w:pPr>
        <w:pStyle w:val="LISTNUMBERDOUBLE"/>
        <w:numPr>
          <w:ilvl w:val="0"/>
          <w:numId w:val="1"/>
        </w:numPr>
        <w:tabs>
          <w:tab w:val="clear" w:pos="720"/>
          <w:tab w:val="num" w:pos="900"/>
        </w:tabs>
        <w:rPr>
          <w:b/>
          <w:bCs/>
        </w:rPr>
      </w:pPr>
      <w:r>
        <w:t xml:space="preserve">Before the Investigation </w:t>
      </w:r>
    </w:p>
    <w:p w:rsidR="00875584" w:rsidRDefault="00875584" w:rsidP="00875584">
      <w:pPr>
        <w:pStyle w:val="LISTALPHADOUBLE"/>
        <w:numPr>
          <w:ilvl w:val="0"/>
          <w:numId w:val="2"/>
        </w:numPr>
        <w:ind w:left="1260"/>
        <w:rPr>
          <w:szCs w:val="22"/>
        </w:rPr>
      </w:pPr>
      <w:r>
        <w:rPr>
          <w:kern w:val="0"/>
          <w:szCs w:val="22"/>
        </w:rPr>
        <w:t xml:space="preserve">School employees must immediately report a suspicion of child abuse or neglect to the </w:t>
      </w:r>
      <w:r w:rsidRPr="00EE4295">
        <w:rPr>
          <w:kern w:val="0"/>
          <w:szCs w:val="22"/>
        </w:rPr>
        <w:t xml:space="preserve">Illinois Department of Child and Family Services in compliance with </w:t>
      </w:r>
      <w:r>
        <w:rPr>
          <w:kern w:val="0"/>
          <w:szCs w:val="22"/>
        </w:rPr>
        <w:t xml:space="preserve">State law and </w:t>
      </w:r>
      <w:r w:rsidRPr="00EE4295">
        <w:rPr>
          <w:kern w:val="0"/>
          <w:szCs w:val="22"/>
        </w:rPr>
        <w:t>policy 5:90</w:t>
      </w:r>
      <w:r>
        <w:rPr>
          <w:kern w:val="0"/>
          <w:szCs w:val="22"/>
        </w:rPr>
        <w:t xml:space="preserve">, </w:t>
      </w:r>
      <w:r w:rsidRPr="00EE4295">
        <w:rPr>
          <w:i/>
          <w:kern w:val="0"/>
          <w:szCs w:val="22"/>
        </w:rPr>
        <w:t>Abused and Neglected Child Reporting</w:t>
      </w:r>
      <w:r>
        <w:rPr>
          <w:kern w:val="0"/>
          <w:szCs w:val="22"/>
        </w:rPr>
        <w:t>. Reporting is required before proceeding further with the investigation.</w:t>
      </w:r>
    </w:p>
    <w:p w:rsidR="00875584" w:rsidRPr="00EE4295" w:rsidRDefault="00875584" w:rsidP="00875584">
      <w:pPr>
        <w:pStyle w:val="LISTALPHADOUBLE"/>
        <w:numPr>
          <w:ilvl w:val="0"/>
          <w:numId w:val="2"/>
        </w:numPr>
        <w:ind w:left="1260"/>
        <w:rPr>
          <w:szCs w:val="22"/>
        </w:rPr>
      </w:pPr>
      <w:r>
        <w:rPr>
          <w:szCs w:val="22"/>
        </w:rPr>
        <w:t xml:space="preserve">Consistent with </w:t>
      </w:r>
      <w:r w:rsidRPr="00EE4295">
        <w:rPr>
          <w:szCs w:val="22"/>
        </w:rPr>
        <w:t xml:space="preserve">policy 2:260, </w:t>
      </w:r>
      <w:r w:rsidRPr="00EE4295">
        <w:rPr>
          <w:i/>
          <w:iCs/>
          <w:szCs w:val="22"/>
        </w:rPr>
        <w:t>Uniform Grievance Procedure</w:t>
      </w:r>
      <w:r w:rsidRPr="00EE4295">
        <w:rPr>
          <w:szCs w:val="22"/>
        </w:rPr>
        <w:t>, the S</w:t>
      </w:r>
      <w:r>
        <w:rPr>
          <w:szCs w:val="22"/>
        </w:rPr>
        <w:t>uperintendent appoints at least one</w:t>
      </w:r>
      <w:r w:rsidRPr="00EE4295">
        <w:rPr>
          <w:szCs w:val="22"/>
        </w:rPr>
        <w:t xml:space="preserve"> District Complaint Ma</w:t>
      </w:r>
      <w:r>
        <w:rPr>
          <w:szCs w:val="22"/>
        </w:rPr>
        <w:t xml:space="preserve">nager </w:t>
      </w:r>
      <w:r>
        <w:t xml:space="preserve">to administer the complaint process. If possible, the Superintendent will </w:t>
      </w:r>
      <w:r w:rsidRPr="00197B59">
        <w:t>appoint two Complaint</w:t>
      </w:r>
      <w:r>
        <w:t xml:space="preserve"> Managers, one of each gender.</w:t>
      </w:r>
      <w:r>
        <w:rPr>
          <w:szCs w:val="22"/>
        </w:rPr>
        <w:t xml:space="preserve"> </w:t>
      </w:r>
      <w:r w:rsidRPr="00EE4295">
        <w:rPr>
          <w:szCs w:val="22"/>
        </w:rPr>
        <w:t xml:space="preserve">A Complaint Manager investigates: (1) complaints filed under policy 2:260, </w:t>
      </w:r>
      <w:r w:rsidRPr="00EE4295">
        <w:rPr>
          <w:i/>
          <w:iCs/>
          <w:szCs w:val="22"/>
        </w:rPr>
        <w:t>Uniform Grievance Procedure</w:t>
      </w:r>
      <w:r w:rsidRPr="00EE4295">
        <w:rPr>
          <w:szCs w:val="22"/>
        </w:rPr>
        <w:t>, and (2) allegations of employee misconduct</w:t>
      </w:r>
      <w:r>
        <w:rPr>
          <w:szCs w:val="22"/>
        </w:rPr>
        <w:t xml:space="preserve"> </w:t>
      </w:r>
      <w:r w:rsidRPr="00A5402F">
        <w:rPr>
          <w:szCs w:val="22"/>
        </w:rPr>
        <w:t xml:space="preserve">(for student misconduct allegations, see </w:t>
      </w:r>
      <w:r w:rsidRPr="00A5402F">
        <w:rPr>
          <w:b/>
          <w:szCs w:val="22"/>
        </w:rPr>
        <w:t>Step 1: C.</w:t>
      </w:r>
      <w:r w:rsidRPr="00A5402F">
        <w:rPr>
          <w:szCs w:val="22"/>
        </w:rPr>
        <w:t>, below)</w:t>
      </w:r>
      <w:r w:rsidRPr="00EE4295">
        <w:rPr>
          <w:szCs w:val="22"/>
        </w:rPr>
        <w:t>.</w:t>
      </w:r>
    </w:p>
    <w:p w:rsidR="00875584" w:rsidRPr="00EE4295" w:rsidRDefault="00875584" w:rsidP="00875584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>The appropriate Building Principal or designee investigates all alle</w:t>
      </w:r>
      <w:r>
        <w:rPr>
          <w:szCs w:val="22"/>
        </w:rPr>
        <w:t>gations of student misconduct.</w:t>
      </w:r>
    </w:p>
    <w:p w:rsidR="00875584" w:rsidRPr="00EE4295" w:rsidRDefault="00875584" w:rsidP="00875584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 xml:space="preserve">Anyone with a complaint or making an allegation of misconduct should be referred to a Complaint Manager of their choosing or </w:t>
      </w:r>
      <w:r>
        <w:rPr>
          <w:szCs w:val="22"/>
        </w:rPr>
        <w:t xml:space="preserve">a </w:t>
      </w:r>
      <w:r w:rsidRPr="00EE4295">
        <w:rPr>
          <w:szCs w:val="22"/>
        </w:rPr>
        <w:t>Building Principal without delay.</w:t>
      </w:r>
    </w:p>
    <w:p w:rsidR="00875584" w:rsidRDefault="00875584" w:rsidP="00875584">
      <w:pPr>
        <w:pStyle w:val="LISTALPHADOUBLE"/>
        <w:numPr>
          <w:ilvl w:val="0"/>
          <w:numId w:val="2"/>
        </w:numPr>
        <w:ind w:left="1260"/>
        <w:rPr>
          <w:spacing w:val="-2"/>
          <w:szCs w:val="22"/>
        </w:rPr>
      </w:pPr>
      <w:r w:rsidRPr="00EE4295">
        <w:rPr>
          <w:szCs w:val="22"/>
        </w:rPr>
        <w:t>A Complaint Manager or Building Princ</w:t>
      </w:r>
      <w:r>
        <w:rPr>
          <w:szCs w:val="22"/>
        </w:rPr>
        <w:t xml:space="preserve">ipal (hereafter referred to as </w:t>
      </w:r>
      <w:r w:rsidRPr="00F1597F">
        <w:rPr>
          <w:i/>
          <w:szCs w:val="22"/>
        </w:rPr>
        <w:t>investigator</w:t>
      </w:r>
      <w:r w:rsidRPr="00EE4295">
        <w:rPr>
          <w:szCs w:val="22"/>
        </w:rPr>
        <w:t>) investigate</w:t>
      </w:r>
      <w:r>
        <w:rPr>
          <w:szCs w:val="22"/>
        </w:rPr>
        <w:t>s</w:t>
      </w:r>
      <w:r w:rsidRPr="00EE4295">
        <w:rPr>
          <w:szCs w:val="22"/>
        </w:rPr>
        <w:t xml:space="preserve"> all complaints or allegations of misconduct, except that, depending on the circumstances, the Superintendent </w:t>
      </w:r>
      <w:r>
        <w:rPr>
          <w:szCs w:val="22"/>
        </w:rPr>
        <w:t xml:space="preserve">or School Board </w:t>
      </w:r>
      <w:r w:rsidRPr="00EE4295">
        <w:rPr>
          <w:szCs w:val="22"/>
        </w:rPr>
        <w:t>may appoint a special investigator</w:t>
      </w:r>
      <w:r>
        <w:rPr>
          <w:szCs w:val="22"/>
        </w:rPr>
        <w:t xml:space="preserve">. </w:t>
      </w:r>
      <w:r w:rsidRPr="00EE4295">
        <w:rPr>
          <w:szCs w:val="22"/>
        </w:rPr>
        <w:t>Whenever the Superintendent deems necessary</w:t>
      </w:r>
      <w:r>
        <w:rPr>
          <w:szCs w:val="22"/>
        </w:rPr>
        <w:t>,</w:t>
      </w:r>
      <w:r w:rsidRPr="00EE4295">
        <w:rPr>
          <w:szCs w:val="22"/>
        </w:rPr>
        <w:t xml:space="preserve"> an attorney may se</w:t>
      </w:r>
      <w:r>
        <w:rPr>
          <w:szCs w:val="22"/>
        </w:rPr>
        <w:t xml:space="preserve">rve as a special investigator. See </w:t>
      </w:r>
      <w:r w:rsidRPr="00674F33">
        <w:rPr>
          <w:i/>
          <w:szCs w:val="22"/>
        </w:rPr>
        <w:t>considerations</w:t>
      </w:r>
      <w:r>
        <w:rPr>
          <w:szCs w:val="22"/>
        </w:rPr>
        <w:t xml:space="preserve"> under </w:t>
      </w:r>
      <w:r w:rsidRPr="00A5402F">
        <w:rPr>
          <w:b/>
          <w:szCs w:val="22"/>
        </w:rPr>
        <w:t>Step 1: F.</w:t>
      </w:r>
      <w:r>
        <w:rPr>
          <w:szCs w:val="22"/>
        </w:rPr>
        <w:t xml:space="preserve">, below. </w:t>
      </w:r>
      <w:r w:rsidRPr="00B2646C">
        <w:rPr>
          <w:spacing w:val="-2"/>
          <w:szCs w:val="22"/>
        </w:rPr>
        <w:t>The investigator should not have any involvement with the complainant or the alleged wrongdoer outside of the investigation. The Superintendent ensure</w:t>
      </w:r>
      <w:r>
        <w:rPr>
          <w:spacing w:val="-2"/>
          <w:szCs w:val="22"/>
        </w:rPr>
        <w:t>s</w:t>
      </w:r>
      <w:r w:rsidRPr="00B2646C">
        <w:rPr>
          <w:spacing w:val="-2"/>
          <w:szCs w:val="22"/>
        </w:rPr>
        <w:t xml:space="preserve"> that investigators have sufficient authority and resources, including access to the Board Attorney.</w:t>
      </w:r>
    </w:p>
    <w:p w:rsidR="00875584" w:rsidRPr="00200DEA" w:rsidRDefault="00875584" w:rsidP="00875584">
      <w:pPr>
        <w:pStyle w:val="LISTALPHADOUBLE"/>
        <w:numPr>
          <w:ilvl w:val="0"/>
          <w:numId w:val="2"/>
        </w:numPr>
        <w:ind w:left="1260"/>
        <w:rPr>
          <w:spacing w:val="-2"/>
          <w:szCs w:val="22"/>
        </w:rPr>
      </w:pPr>
      <w:r>
        <w:t>The Board Attorney provides information and advice regarding the investigation process, including without limitation:</w:t>
      </w:r>
    </w:p>
    <w:p w:rsidR="00875584" w:rsidRPr="00D1713A" w:rsidRDefault="00875584" w:rsidP="00875584">
      <w:pPr>
        <w:pStyle w:val="ListNumber2"/>
        <w:numPr>
          <w:ilvl w:val="0"/>
          <w:numId w:val="5"/>
        </w:numPr>
        <w:spacing w:before="60" w:after="60"/>
        <w:ind w:left="1627"/>
      </w:pPr>
      <w:r>
        <w:t>Whether the investigator’s notes and investigation records (including, without limitation,</w:t>
      </w:r>
      <w:r w:rsidRPr="00D1713A">
        <w:t xml:space="preserve"> any </w:t>
      </w:r>
      <w:r>
        <w:t xml:space="preserve">audio or video </w:t>
      </w:r>
      <w:r w:rsidRPr="00D1713A">
        <w:t>recordings</w:t>
      </w:r>
      <w:r>
        <w:t>, photographs, or electronic images)</w:t>
      </w:r>
      <w:r w:rsidRPr="00D1713A">
        <w:t xml:space="preserve"> are education records for purposes of the federal Family Education Rights and Privacy Act (FERPA) and/or school student records as defined in the Ill. School Student Records Act (105 ILCS 10/, implemented by 23 </w:t>
      </w:r>
      <w:proofErr w:type="spellStart"/>
      <w:r w:rsidRPr="00D1713A">
        <w:t>Ill.Admin.Code</w:t>
      </w:r>
      <w:proofErr w:type="spellEnd"/>
      <w:r w:rsidRPr="00D1713A">
        <w:t xml:space="preserve"> §375.10)?</w:t>
      </w:r>
    </w:p>
    <w:p w:rsidR="00875584" w:rsidRPr="00D1713A" w:rsidRDefault="00875584" w:rsidP="00875584">
      <w:pPr>
        <w:pStyle w:val="ListNumber2"/>
        <w:numPr>
          <w:ilvl w:val="0"/>
          <w:numId w:val="5"/>
        </w:numPr>
        <w:spacing w:before="60" w:after="60"/>
        <w:ind w:left="1627"/>
      </w:pPr>
      <w:r>
        <w:t xml:space="preserve">Whether the investigator’s notes and investigation records (including, without limitation, </w:t>
      </w:r>
      <w:r w:rsidRPr="00D1713A">
        <w:t xml:space="preserve">any </w:t>
      </w:r>
      <w:r>
        <w:t xml:space="preserve">audio or video </w:t>
      </w:r>
      <w:r w:rsidRPr="00D1713A">
        <w:t>recordings</w:t>
      </w:r>
      <w:r>
        <w:t>, photographs, or electronic images) are</w:t>
      </w:r>
      <w:r w:rsidRPr="00D1713A">
        <w:t xml:space="preserve"> subject to disclosure pursuant to a </w:t>
      </w:r>
      <w:r>
        <w:t>Freedom of Information Act (</w:t>
      </w:r>
      <w:r w:rsidRPr="00D1713A">
        <w:t>FOIA</w:t>
      </w:r>
      <w:r>
        <w:t>)</w:t>
      </w:r>
      <w:r w:rsidRPr="00D1713A">
        <w:t xml:space="preserve"> request? A PAC opinion, binding on the parties, found that a city’s investigatory records of an employee were not private or adjudicatory records and must be disclosed pursuant to a FOIA request (PAC Opinion 13-110).</w:t>
      </w:r>
    </w:p>
    <w:p w:rsidR="00875584" w:rsidRPr="00D1713A" w:rsidRDefault="00875584" w:rsidP="00875584">
      <w:pPr>
        <w:pStyle w:val="ListNumber2"/>
        <w:numPr>
          <w:ilvl w:val="0"/>
          <w:numId w:val="5"/>
        </w:numPr>
        <w:spacing w:before="60" w:after="60"/>
        <w:ind w:left="1627"/>
      </w:pPr>
      <w:r w:rsidRPr="00D1713A">
        <w:t xml:space="preserve">Whether to record conversations, and if so, how to obtain and document consent under the criminal eavesdropping statute? </w:t>
      </w:r>
      <w:proofErr w:type="gramStart"/>
      <w:r w:rsidRPr="00D1713A">
        <w:t xml:space="preserve">720 ILCS 5/14-1 </w:t>
      </w:r>
      <w:r w:rsidRPr="00D1713A">
        <w:rPr>
          <w:u w:val="single"/>
        </w:rPr>
        <w:t>et</w:t>
      </w:r>
      <w:r w:rsidRPr="00D1713A">
        <w:t xml:space="preserve"> </w:t>
      </w:r>
      <w:r w:rsidRPr="00D1713A">
        <w:rPr>
          <w:u w:val="single"/>
        </w:rPr>
        <w:t>seq</w:t>
      </w:r>
      <w:r w:rsidRPr="00D1713A">
        <w:t>.</w:t>
      </w:r>
      <w:proofErr w:type="gramEnd"/>
      <w:r w:rsidRPr="00D1713A">
        <w:t xml:space="preserve"> prohibits recording a conversation in which someone has a reasonable expectation of privacy without the consent of all parties.</w:t>
      </w:r>
    </w:p>
    <w:p w:rsidR="00875584" w:rsidRDefault="00875584" w:rsidP="00875584">
      <w:pPr>
        <w:pStyle w:val="ListNumber2"/>
        <w:numPr>
          <w:ilvl w:val="0"/>
          <w:numId w:val="5"/>
        </w:numPr>
        <w:spacing w:before="60" w:after="60"/>
        <w:ind w:left="1627"/>
        <w:rPr>
          <w:spacing w:val="-2"/>
        </w:rPr>
      </w:pPr>
      <w:r w:rsidRPr="00D1713A">
        <w:lastRenderedPageBreak/>
        <w:t>Whether the Board Attorney should participate in or conduct the investigation?</w:t>
      </w:r>
      <w:r>
        <w:rPr>
          <w:spacing w:val="-2"/>
        </w:rPr>
        <w:t xml:space="preserve"> Whether an outside attorney should serve as a special investigator? Considerations include:</w:t>
      </w:r>
    </w:p>
    <w:p w:rsidR="00875584" w:rsidRDefault="00875584" w:rsidP="00875584">
      <w:pPr>
        <w:pStyle w:val="ListAlphaLower"/>
        <w:numPr>
          <w:ilvl w:val="0"/>
          <w:numId w:val="9"/>
        </w:numPr>
        <w:spacing w:before="60" w:after="60"/>
        <w:ind w:left="1987"/>
      </w:pPr>
      <w:r>
        <w:rPr>
          <w:spacing w:val="-2"/>
        </w:rPr>
        <w:t>The U.S. Supreme Court has held that</w:t>
      </w:r>
      <w:r>
        <w:t xml:space="preserve"> a private attorney temporarily retained by government to perform an investigation of an employee is entitled to seek qualified immunity from suit under Section 1983. </w:t>
      </w:r>
      <w:proofErr w:type="spellStart"/>
      <w:r w:rsidRPr="004D1DA0">
        <w:rPr>
          <w:u w:val="single"/>
        </w:rPr>
        <w:t>Filarsky</w:t>
      </w:r>
      <w:proofErr w:type="spellEnd"/>
      <w:r w:rsidRPr="004D1DA0">
        <w:rPr>
          <w:u w:val="single"/>
        </w:rPr>
        <w:t xml:space="preserve"> v. Delia</w:t>
      </w:r>
      <w:r>
        <w:t>,</w:t>
      </w:r>
      <w:r w:rsidRPr="0055617A">
        <w:t xml:space="preserve"> </w:t>
      </w:r>
      <w:r>
        <w:t>566 U.S. 377</w:t>
      </w:r>
      <w:r w:rsidRPr="0055617A">
        <w:rPr>
          <w:spacing w:val="-2"/>
        </w:rPr>
        <w:t xml:space="preserve"> (2012)</w:t>
      </w:r>
      <w:r>
        <w:t xml:space="preserve">. </w:t>
      </w:r>
    </w:p>
    <w:p w:rsidR="00875584" w:rsidRDefault="00875584" w:rsidP="00875584">
      <w:pPr>
        <w:pStyle w:val="ListAlphaLower"/>
        <w:numPr>
          <w:ilvl w:val="0"/>
          <w:numId w:val="9"/>
        </w:numPr>
        <w:spacing w:before="60" w:after="60"/>
        <w:ind w:left="1987"/>
      </w:pPr>
      <w:r>
        <w:t>The FOIA exemption for communications between a public body and its attorney is available in only limited situations. See PAC Opinion 14-02 interpreting 5 ILCS 140/7(m).</w:t>
      </w:r>
    </w:p>
    <w:p w:rsidR="00875584" w:rsidRPr="00200DEA" w:rsidRDefault="00875584" w:rsidP="00875584">
      <w:pPr>
        <w:pStyle w:val="ListAlphaLower"/>
        <w:numPr>
          <w:ilvl w:val="0"/>
          <w:numId w:val="9"/>
        </w:numPr>
        <w:spacing w:before="60" w:after="60"/>
        <w:ind w:left="1987"/>
        <w:rPr>
          <w:spacing w:val="-2"/>
        </w:rPr>
      </w:pPr>
      <w:r>
        <w:rPr>
          <w:spacing w:val="-2"/>
        </w:rPr>
        <w:t xml:space="preserve">Documents prepared by attorneys conducting an investigation under the prospect of litigation will not be subject to discovery during a subsequent lawsuit. </w:t>
      </w:r>
      <w:r w:rsidRPr="007D45F5">
        <w:rPr>
          <w:spacing w:val="-2"/>
          <w:u w:val="single"/>
        </w:rPr>
        <w:t>Sandra TE v. South Berwyn School Dist.</w:t>
      </w:r>
      <w:r>
        <w:rPr>
          <w:spacing w:val="-2"/>
        </w:rPr>
        <w:t>,</w:t>
      </w:r>
      <w:r w:rsidRPr="007D45F5">
        <w:rPr>
          <w:spacing w:val="-2"/>
        </w:rPr>
        <w:t xml:space="preserve"> 600 F. 3d 612 </w:t>
      </w:r>
      <w:r>
        <w:rPr>
          <w:spacing w:val="-2"/>
        </w:rPr>
        <w:t>(</w:t>
      </w:r>
      <w:r w:rsidRPr="007D45F5">
        <w:rPr>
          <w:spacing w:val="-2"/>
        </w:rPr>
        <w:t>7th Circuit 2010</w:t>
      </w:r>
      <w:r>
        <w:rPr>
          <w:spacing w:val="-2"/>
        </w:rPr>
        <w:t xml:space="preserve">) (when attorneys, as attorneys, perform a factual investigation, their </w:t>
      </w:r>
      <w:r w:rsidRPr="007D45F5">
        <w:rPr>
          <w:spacing w:val="-2"/>
        </w:rPr>
        <w:t>documents are protected by the attorney-client privilege and the work-product doctrine</w:t>
      </w:r>
      <w:r>
        <w:rPr>
          <w:spacing w:val="-2"/>
        </w:rPr>
        <w:t>)</w:t>
      </w:r>
      <w:r w:rsidRPr="007D45F5">
        <w:rPr>
          <w:spacing w:val="-2"/>
        </w:rPr>
        <w:t>.</w:t>
      </w:r>
    </w:p>
    <w:p w:rsidR="00875584" w:rsidRPr="00EE4295" w:rsidRDefault="00875584" w:rsidP="00875584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 xml:space="preserve">The investigator </w:t>
      </w:r>
      <w:r w:rsidRPr="00A5402F">
        <w:rPr>
          <w:szCs w:val="22"/>
        </w:rPr>
        <w:t>provides</w:t>
      </w:r>
      <w:r w:rsidRPr="00EE4295">
        <w:rPr>
          <w:szCs w:val="22"/>
        </w:rPr>
        <w:t xml:space="preserve"> a fair opportunity for both sides to be heard.</w:t>
      </w:r>
    </w:p>
    <w:p w:rsidR="00875584" w:rsidRPr="00EE4295" w:rsidRDefault="00875584" w:rsidP="00875584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 xml:space="preserve">The investigator </w:t>
      </w:r>
      <w:r w:rsidRPr="00A5402F">
        <w:rPr>
          <w:szCs w:val="22"/>
        </w:rPr>
        <w:t>begins</w:t>
      </w:r>
      <w:r w:rsidRPr="00EE4295">
        <w:rPr>
          <w:szCs w:val="22"/>
        </w:rPr>
        <w:t xml:space="preserve"> by carefully reading the complaint</w:t>
      </w:r>
      <w:r>
        <w:rPr>
          <w:szCs w:val="22"/>
        </w:rPr>
        <w:t>, and</w:t>
      </w:r>
      <w:r w:rsidRPr="00A5402F">
        <w:rPr>
          <w:szCs w:val="22"/>
        </w:rPr>
        <w:t xml:space="preserve"> reviewing</w:t>
      </w:r>
      <w:r w:rsidRPr="00EE4295">
        <w:rPr>
          <w:szCs w:val="22"/>
        </w:rPr>
        <w:t xml:space="preserve"> applicable Board policies, administrative procedures and manuals, laws, regulations, and collective bargaining agreements. </w:t>
      </w:r>
    </w:p>
    <w:p w:rsidR="00875584" w:rsidRPr="00EE4295" w:rsidRDefault="00875584" w:rsidP="00875584">
      <w:pPr>
        <w:pStyle w:val="LISTALPHADOUBLE"/>
        <w:numPr>
          <w:ilvl w:val="0"/>
          <w:numId w:val="2"/>
        </w:numPr>
        <w:ind w:left="1260"/>
        <w:rPr>
          <w:szCs w:val="22"/>
        </w:rPr>
      </w:pPr>
      <w:r w:rsidRPr="00EE4295">
        <w:rPr>
          <w:szCs w:val="22"/>
        </w:rPr>
        <w:t>The investigator develop</w:t>
      </w:r>
      <w:r>
        <w:rPr>
          <w:szCs w:val="22"/>
        </w:rPr>
        <w:t>s</w:t>
      </w:r>
      <w:r w:rsidRPr="00EE4295">
        <w:rPr>
          <w:szCs w:val="22"/>
        </w:rPr>
        <w:t xml:space="preserve"> a plan, including:</w:t>
      </w:r>
    </w:p>
    <w:p w:rsidR="00875584" w:rsidRPr="00D1713A" w:rsidRDefault="00875584" w:rsidP="00875584">
      <w:pPr>
        <w:pStyle w:val="ListNumber2"/>
        <w:numPr>
          <w:ilvl w:val="0"/>
          <w:numId w:val="6"/>
        </w:numPr>
        <w:spacing w:before="60" w:after="60"/>
        <w:ind w:left="1627"/>
      </w:pPr>
      <w:r w:rsidRPr="00D1713A">
        <w:t>Witness list</w:t>
      </w:r>
    </w:p>
    <w:p w:rsidR="00875584" w:rsidRPr="00D1713A" w:rsidRDefault="00875584" w:rsidP="00875584">
      <w:pPr>
        <w:pStyle w:val="ListNumber2"/>
        <w:numPr>
          <w:ilvl w:val="0"/>
          <w:numId w:val="6"/>
        </w:numPr>
        <w:spacing w:before="60" w:after="60"/>
        <w:ind w:left="1627"/>
      </w:pPr>
      <w:r w:rsidRPr="00D1713A">
        <w:t>Order of interviews</w:t>
      </w:r>
    </w:p>
    <w:p w:rsidR="00875584" w:rsidRDefault="00875584" w:rsidP="00875584">
      <w:pPr>
        <w:pStyle w:val="ListNumber2"/>
        <w:numPr>
          <w:ilvl w:val="0"/>
          <w:numId w:val="6"/>
        </w:numPr>
        <w:spacing w:before="60" w:after="60"/>
        <w:ind w:left="1627"/>
      </w:pPr>
      <w:r>
        <w:t>Questions for witnesses</w:t>
      </w:r>
    </w:p>
    <w:p w:rsidR="00875584" w:rsidRDefault="00875584" w:rsidP="00875584">
      <w:pPr>
        <w:pStyle w:val="ListNumber2"/>
        <w:numPr>
          <w:ilvl w:val="0"/>
          <w:numId w:val="6"/>
        </w:numPr>
        <w:spacing w:before="60" w:after="60"/>
        <w:ind w:left="1627"/>
      </w:pPr>
      <w:r>
        <w:t>Physical evidence needed, e.g., records, documents, reports, photos, and letters</w:t>
      </w:r>
    </w:p>
    <w:p w:rsidR="00875584" w:rsidRDefault="00875584" w:rsidP="00875584">
      <w:pPr>
        <w:pStyle w:val="LISTALPHADOUBLE"/>
        <w:numPr>
          <w:ilvl w:val="0"/>
          <w:numId w:val="2"/>
        </w:numPr>
        <w:ind w:left="1260"/>
      </w:pPr>
      <w:r>
        <w:t>The investigator makes logistical arrangements, e.g., determine interview location and the need for photographs and/or a video or audio recording.</w:t>
      </w:r>
    </w:p>
    <w:p w:rsidR="00875584" w:rsidRPr="00981D52" w:rsidRDefault="00875584" w:rsidP="00875584">
      <w:pPr>
        <w:pStyle w:val="LISTALPHADOUBLE"/>
        <w:numPr>
          <w:ilvl w:val="0"/>
          <w:numId w:val="2"/>
        </w:numPr>
        <w:ind w:left="1260"/>
      </w:pPr>
      <w:r>
        <w:t>If the investigator encounters an issue with legal ramifications outside of his/her understanding, either before or during the investigation, he/she consults the Board Attorney before proceeding further on that legal issue, as well as any other areas of the investigation it impacts.</w:t>
      </w:r>
    </w:p>
    <w:p w:rsidR="00875584" w:rsidRDefault="00875584" w:rsidP="00875584">
      <w:pPr>
        <w:pStyle w:val="LISTNUMBERDOUBLE"/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rPr>
          <w:b/>
          <w:bCs/>
        </w:rPr>
      </w:pPr>
      <w:r>
        <w:rPr>
          <w:b/>
          <w:bCs/>
        </w:rPr>
        <w:t>Investigator Responsibilities During the Investigation</w:t>
      </w:r>
    </w:p>
    <w:p w:rsidR="00875584" w:rsidRDefault="00875584" w:rsidP="00875584">
      <w:pPr>
        <w:pStyle w:val="LISTALPHADOUBLE"/>
        <w:numPr>
          <w:ilvl w:val="0"/>
          <w:numId w:val="3"/>
        </w:numPr>
        <w:ind w:left="1267"/>
      </w:pPr>
      <w:r>
        <w:t>Typically, the complainant is interviewed first, then the subject of the investigation, and, finally, all witnesses. The following applies to all interviews:</w:t>
      </w:r>
    </w:p>
    <w:p w:rsidR="00875584" w:rsidRDefault="00875584" w:rsidP="00875584">
      <w:pPr>
        <w:pStyle w:val="ListNumber2"/>
        <w:numPr>
          <w:ilvl w:val="0"/>
          <w:numId w:val="7"/>
        </w:numPr>
        <w:spacing w:before="60" w:after="60"/>
        <w:ind w:left="1627"/>
      </w:pPr>
      <w:r>
        <w:t>When</w:t>
      </w:r>
      <w:r w:rsidRPr="00D1713A">
        <w:t xml:space="preserve"> possible, </w:t>
      </w:r>
      <w:r>
        <w:t xml:space="preserve">ensures that </w:t>
      </w:r>
      <w:r w:rsidRPr="00D1713A">
        <w:t xml:space="preserve">statements </w:t>
      </w:r>
      <w:r>
        <w:t>are</w:t>
      </w:r>
      <w:r w:rsidRPr="00D1713A">
        <w:t xml:space="preserve"> written, dated, and signed by the person being interviewed. Do</w:t>
      </w:r>
      <w:r>
        <w:t>es</w:t>
      </w:r>
      <w:r w:rsidRPr="00D1713A">
        <w:t xml:space="preserve"> not audio or video record statements without first obtaining the Board Attorney’s advice concerning legal prerequisites and treatment of the recordings.</w:t>
      </w:r>
    </w:p>
    <w:p w:rsidR="00875584" w:rsidRDefault="00875584" w:rsidP="00875584">
      <w:pPr>
        <w:pStyle w:val="ListNumber2"/>
        <w:numPr>
          <w:ilvl w:val="0"/>
          <w:numId w:val="7"/>
        </w:numPr>
        <w:spacing w:before="60" w:after="60"/>
        <w:ind w:left="1627"/>
      </w:pPr>
      <w:r>
        <w:t>Asks open-ended questions and does not suggest answers to questions.</w:t>
      </w:r>
    </w:p>
    <w:p w:rsidR="00875584" w:rsidRDefault="00875584" w:rsidP="00875584">
      <w:pPr>
        <w:pStyle w:val="ListNumber2"/>
        <w:numPr>
          <w:ilvl w:val="0"/>
          <w:numId w:val="7"/>
        </w:numPr>
        <w:spacing w:before="60" w:after="60"/>
        <w:ind w:left="1627"/>
      </w:pPr>
      <w:r>
        <w:t>Records important details, essentially who, did what, to whom, when, and how done and, if appropriate, why?</w:t>
      </w:r>
    </w:p>
    <w:p w:rsidR="00875584" w:rsidRDefault="00875584" w:rsidP="00875584">
      <w:pPr>
        <w:pStyle w:val="ListNumber2"/>
        <w:numPr>
          <w:ilvl w:val="0"/>
          <w:numId w:val="7"/>
        </w:numPr>
        <w:spacing w:before="60" w:after="60"/>
        <w:ind w:left="1627"/>
      </w:pPr>
      <w:r>
        <w:t>Is objective and nonjudgmental; does not prejudge an alleged wrongdoer’s guilt. Never show outrage or dismay.</w:t>
      </w:r>
    </w:p>
    <w:p w:rsidR="00875584" w:rsidRDefault="00875584" w:rsidP="00875584">
      <w:pPr>
        <w:pStyle w:val="ListNumber2"/>
        <w:numPr>
          <w:ilvl w:val="0"/>
          <w:numId w:val="7"/>
        </w:numPr>
        <w:spacing w:before="60" w:after="60"/>
        <w:ind w:left="1627"/>
      </w:pPr>
      <w:r>
        <w:t>Asks for the names of any other witnesses.</w:t>
      </w:r>
    </w:p>
    <w:p w:rsidR="00875584" w:rsidRDefault="00875584" w:rsidP="00875584">
      <w:pPr>
        <w:pStyle w:val="ListNumber2"/>
        <w:numPr>
          <w:ilvl w:val="0"/>
          <w:numId w:val="7"/>
        </w:numPr>
        <w:spacing w:before="60" w:after="60"/>
        <w:ind w:left="1627"/>
      </w:pPr>
      <w:r>
        <w:t>Deals with emotional outbursts and anger by patiently explaining that details are needed for an accurate investigation.</w:t>
      </w:r>
    </w:p>
    <w:p w:rsidR="00875584" w:rsidRDefault="00875584" w:rsidP="00875584">
      <w:pPr>
        <w:pStyle w:val="ListNumber2"/>
        <w:numPr>
          <w:ilvl w:val="0"/>
          <w:numId w:val="7"/>
        </w:numPr>
        <w:spacing w:before="60" w:after="60"/>
        <w:ind w:left="1627"/>
      </w:pPr>
      <w:r>
        <w:t>If a witness cannot be interviewed, records the reason.</w:t>
      </w:r>
    </w:p>
    <w:p w:rsidR="00875584" w:rsidRDefault="00875584" w:rsidP="00875584">
      <w:pPr>
        <w:pStyle w:val="LISTALPHADOUBLE"/>
        <w:numPr>
          <w:ilvl w:val="0"/>
          <w:numId w:val="3"/>
        </w:numPr>
        <w:ind w:left="1260"/>
      </w:pPr>
      <w:r>
        <w:lastRenderedPageBreak/>
        <w:t>While confidentiality should be maintained, does not make promises of confidentiality or anonymity. Only the Superintendent may promise confidentiality or anonymity.</w:t>
      </w:r>
    </w:p>
    <w:p w:rsidR="00875584" w:rsidRDefault="00875584" w:rsidP="00875584">
      <w:pPr>
        <w:pStyle w:val="LISTALPHADOUBLE"/>
        <w:numPr>
          <w:ilvl w:val="0"/>
          <w:numId w:val="3"/>
        </w:numPr>
        <w:ind w:left="1260"/>
      </w:pPr>
      <w:r>
        <w:t>Keeps the Superintendent informed, but does not discuss the investigation with Board members in order to avoid the appearance of prejudice or unfairness.</w:t>
      </w:r>
    </w:p>
    <w:p w:rsidR="00875584" w:rsidRPr="00B2646C" w:rsidRDefault="00875584" w:rsidP="00875584">
      <w:pPr>
        <w:pStyle w:val="LISTALPHADOUBLE"/>
        <w:numPr>
          <w:ilvl w:val="0"/>
          <w:numId w:val="3"/>
        </w:numPr>
        <w:ind w:left="1260"/>
        <w:rPr>
          <w:spacing w:val="-4"/>
        </w:rPr>
      </w:pPr>
      <w:r w:rsidRPr="00B2646C">
        <w:rPr>
          <w:spacing w:val="-4"/>
        </w:rPr>
        <w:t>Obtain</w:t>
      </w:r>
      <w:r>
        <w:rPr>
          <w:spacing w:val="-4"/>
        </w:rPr>
        <w:t>s</w:t>
      </w:r>
      <w:r w:rsidRPr="00B2646C">
        <w:rPr>
          <w:spacing w:val="-4"/>
        </w:rPr>
        <w:t xml:space="preserve"> </w:t>
      </w:r>
      <w:r>
        <w:rPr>
          <w:spacing w:val="-4"/>
        </w:rPr>
        <w:t>copies of all relevant</w:t>
      </w:r>
      <w:r w:rsidRPr="00B2646C">
        <w:rPr>
          <w:spacing w:val="-4"/>
        </w:rPr>
        <w:t xml:space="preserve"> </w:t>
      </w:r>
      <w:r>
        <w:rPr>
          <w:spacing w:val="-4"/>
        </w:rPr>
        <w:t>written or electronic communications</w:t>
      </w:r>
      <w:r w:rsidRPr="00B2646C">
        <w:rPr>
          <w:spacing w:val="-4"/>
        </w:rPr>
        <w:t xml:space="preserve">. </w:t>
      </w:r>
      <w:proofErr w:type="gramStart"/>
      <w:r w:rsidRPr="00B2646C">
        <w:rPr>
          <w:spacing w:val="-4"/>
        </w:rPr>
        <w:t>Originals are not needed, but record</w:t>
      </w:r>
      <w:r>
        <w:rPr>
          <w:spacing w:val="-4"/>
        </w:rPr>
        <w:t>s</w:t>
      </w:r>
      <w:proofErr w:type="gramEnd"/>
      <w:r w:rsidRPr="00B2646C">
        <w:rPr>
          <w:spacing w:val="-4"/>
        </w:rPr>
        <w:t xml:space="preserve"> how to get them.</w:t>
      </w:r>
    </w:p>
    <w:p w:rsidR="00875584" w:rsidRDefault="00875584" w:rsidP="00875584">
      <w:pPr>
        <w:pStyle w:val="LISTALPHADOUBLE"/>
        <w:numPr>
          <w:ilvl w:val="0"/>
          <w:numId w:val="3"/>
        </w:numPr>
        <w:ind w:left="1260"/>
      </w:pPr>
      <w:r>
        <w:t>Collects physical evidence and photographs. Keeps a record of when, and where, or from whom physical evidence was gathered.</w:t>
      </w:r>
    </w:p>
    <w:p w:rsidR="00875584" w:rsidRDefault="00875584" w:rsidP="00875584">
      <w:pPr>
        <w:pStyle w:val="LISTALPHADOUBLE"/>
        <w:numPr>
          <w:ilvl w:val="0"/>
          <w:numId w:val="3"/>
        </w:numPr>
        <w:ind w:left="1260"/>
      </w:pPr>
      <w:r>
        <w:t>Documents any information about the interview that is relevant, or may become relevant, including the person’s demeanor, gestures, accuracy of memory, and overall credibility.</w:t>
      </w:r>
    </w:p>
    <w:p w:rsidR="00875584" w:rsidRPr="00981D52" w:rsidRDefault="00875584" w:rsidP="00875584">
      <w:pPr>
        <w:pStyle w:val="LISTALPHADOUBLE"/>
        <w:numPr>
          <w:ilvl w:val="0"/>
          <w:numId w:val="3"/>
        </w:numPr>
        <w:ind w:left="1260"/>
        <w:rPr>
          <w:szCs w:val="22"/>
        </w:rPr>
      </w:pPr>
      <w:r>
        <w:t xml:space="preserve">During the </w:t>
      </w:r>
      <w:r w:rsidRPr="00981D52">
        <w:rPr>
          <w:szCs w:val="22"/>
        </w:rPr>
        <w:t>investigation, keep</w:t>
      </w:r>
      <w:r>
        <w:rPr>
          <w:szCs w:val="22"/>
        </w:rPr>
        <w:t>s</w:t>
      </w:r>
      <w:r w:rsidRPr="00981D52">
        <w:rPr>
          <w:szCs w:val="22"/>
        </w:rPr>
        <w:t xml:space="preserve"> the investigation file separate from pers</w:t>
      </w:r>
      <w:r>
        <w:rPr>
          <w:szCs w:val="22"/>
        </w:rPr>
        <w:t xml:space="preserve">onnel or student record files. </w:t>
      </w:r>
      <w:r w:rsidRPr="00981D52">
        <w:rPr>
          <w:szCs w:val="22"/>
        </w:rPr>
        <w:t>In a subsequent hearing, the opposing side may be able to view the investigation file. Records relating to a public body</w:t>
      </w:r>
      <w:r>
        <w:rPr>
          <w:szCs w:val="22"/>
        </w:rPr>
        <w:t>’</w:t>
      </w:r>
      <w:r w:rsidRPr="00981D52">
        <w:rPr>
          <w:szCs w:val="22"/>
        </w:rPr>
        <w:t xml:space="preserve">s adjudication (hearing) of employee grievances or disciplinary cases are exempt from </w:t>
      </w:r>
      <w:r>
        <w:rPr>
          <w:szCs w:val="22"/>
        </w:rPr>
        <w:t>FOIA</w:t>
      </w:r>
      <w:r w:rsidRPr="00981D52">
        <w:rPr>
          <w:szCs w:val="22"/>
        </w:rPr>
        <w:t xml:space="preserve"> public records requests under 5 ILCS 140/7(1</w:t>
      </w:r>
      <w:proofErr w:type="gramStart"/>
      <w:r w:rsidRPr="00981D52">
        <w:rPr>
          <w:szCs w:val="22"/>
        </w:rPr>
        <w:t>)(</w:t>
      </w:r>
      <w:proofErr w:type="gramEnd"/>
      <w:r w:rsidRPr="00981D52">
        <w:rPr>
          <w:szCs w:val="22"/>
        </w:rPr>
        <w:t>n</w:t>
      </w:r>
      <w:r>
        <w:rPr>
          <w:szCs w:val="22"/>
        </w:rPr>
        <w:t>).</w:t>
      </w:r>
      <w:r w:rsidRPr="00981D52">
        <w:rPr>
          <w:szCs w:val="22"/>
        </w:rPr>
        <w:t xml:space="preserve"> However, the </w:t>
      </w:r>
      <w:r w:rsidRPr="00981D52">
        <w:rPr>
          <w:rStyle w:val="HTMLCode"/>
          <w:szCs w:val="22"/>
        </w:rPr>
        <w:t>exemption does not extend to the final outcome of cases in which discipline is imposed.</w:t>
      </w:r>
    </w:p>
    <w:p w:rsidR="00875584" w:rsidRDefault="00875584" w:rsidP="00875584">
      <w:pPr>
        <w:pStyle w:val="LISTNUMBERDOUBLE"/>
        <w:numPr>
          <w:ilvl w:val="0"/>
          <w:numId w:val="1"/>
        </w:numPr>
        <w:tabs>
          <w:tab w:val="clear" w:pos="720"/>
          <w:tab w:val="num" w:pos="900"/>
        </w:tabs>
        <w:ind w:left="900" w:hanging="900"/>
        <w:rPr>
          <w:b/>
          <w:bCs/>
        </w:rPr>
      </w:pPr>
      <w:r>
        <w:rPr>
          <w:b/>
          <w:bCs/>
        </w:rPr>
        <w:t>Investigator’s Actions Following the Investigation</w:t>
      </w:r>
    </w:p>
    <w:p w:rsidR="00875584" w:rsidRPr="00B2646C" w:rsidRDefault="00875584" w:rsidP="00875584">
      <w:pPr>
        <w:pStyle w:val="LISTALPHADOUBLE"/>
        <w:numPr>
          <w:ilvl w:val="0"/>
          <w:numId w:val="4"/>
        </w:numPr>
        <w:ind w:left="1260"/>
        <w:rPr>
          <w:spacing w:val="-2"/>
        </w:rPr>
      </w:pPr>
      <w:r w:rsidRPr="00B2646C">
        <w:rPr>
          <w:spacing w:val="-4"/>
        </w:rPr>
        <w:t>Report</w:t>
      </w:r>
      <w:r>
        <w:rPr>
          <w:spacing w:val="-4"/>
        </w:rPr>
        <w:t>s</w:t>
      </w:r>
      <w:r w:rsidRPr="00B2646C">
        <w:rPr>
          <w:spacing w:val="-4"/>
        </w:rPr>
        <w:t xml:space="preserve"> to the Superintendent or designee the investigation results, that is, the matters investigated, facts, conclusions, and recommendations. Prepare</w:t>
      </w:r>
      <w:r>
        <w:rPr>
          <w:spacing w:val="-4"/>
        </w:rPr>
        <w:t>s</w:t>
      </w:r>
      <w:r w:rsidRPr="00B2646C">
        <w:rPr>
          <w:spacing w:val="-4"/>
        </w:rPr>
        <w:t xml:space="preserve"> a written report if </w:t>
      </w:r>
      <w:r>
        <w:rPr>
          <w:spacing w:val="-4"/>
        </w:rPr>
        <w:t xml:space="preserve">appropriate or </w:t>
      </w:r>
      <w:r w:rsidRPr="00B2646C">
        <w:rPr>
          <w:spacing w:val="-4"/>
        </w:rPr>
        <w:t>requested</w:t>
      </w:r>
      <w:r w:rsidRPr="00B2646C">
        <w:rPr>
          <w:spacing w:val="-2"/>
        </w:rPr>
        <w:t>.</w:t>
      </w:r>
    </w:p>
    <w:p w:rsidR="00875584" w:rsidRDefault="00875584" w:rsidP="00875584">
      <w:pPr>
        <w:pStyle w:val="ListNumber2"/>
        <w:numPr>
          <w:ilvl w:val="0"/>
          <w:numId w:val="8"/>
        </w:numPr>
        <w:spacing w:before="60" w:after="60"/>
        <w:ind w:left="1627"/>
      </w:pPr>
      <w:r>
        <w:t>Answers who, what, when, where, why, and how.</w:t>
      </w:r>
    </w:p>
    <w:p w:rsidR="00875584" w:rsidRDefault="00875584" w:rsidP="00875584">
      <w:pPr>
        <w:pStyle w:val="ListNumber2"/>
        <w:numPr>
          <w:ilvl w:val="0"/>
          <w:numId w:val="8"/>
        </w:numPr>
        <w:spacing w:before="60" w:after="60"/>
        <w:ind w:left="1627"/>
      </w:pPr>
      <w:r>
        <w:t>Bases factual findings on whether an incident’s occurrence is more likely than not. Identifies as many factual findings as possible to support a conclusion. In a “he said, she said” scenario, a decision can be based on the credibility of the parties and witnesses. Includes in the report any findings that are inconclusive.</w:t>
      </w:r>
    </w:p>
    <w:p w:rsidR="00875584" w:rsidRPr="005D3F59" w:rsidRDefault="00875584" w:rsidP="00875584">
      <w:pPr>
        <w:pStyle w:val="ListNumber2"/>
        <w:numPr>
          <w:ilvl w:val="0"/>
          <w:numId w:val="8"/>
        </w:numPr>
        <w:spacing w:before="60" w:after="60"/>
        <w:ind w:left="1627"/>
      </w:pPr>
      <w:r w:rsidRPr="005D3F59">
        <w:rPr>
          <w:spacing w:val="-4"/>
        </w:rPr>
        <w:t>Make</w:t>
      </w:r>
      <w:r>
        <w:rPr>
          <w:spacing w:val="-4"/>
        </w:rPr>
        <w:t>s</w:t>
      </w:r>
      <w:r w:rsidRPr="005D3F59">
        <w:rPr>
          <w:spacing w:val="-4"/>
        </w:rPr>
        <w:t xml:space="preserve"> a determination regarding credibility of specific evidence, that is, how believable </w:t>
      </w:r>
      <w:r>
        <w:t xml:space="preserve">is it and why by explaining the basis for the determination. </w:t>
      </w:r>
      <w:r w:rsidRPr="005D3F59">
        <w:t>Credible evidence is capable of belief by a reasonable person.</w:t>
      </w:r>
    </w:p>
    <w:p w:rsidR="00875584" w:rsidRPr="00D1713A" w:rsidRDefault="00875584" w:rsidP="00875584">
      <w:pPr>
        <w:pStyle w:val="LISTALPHADOUBLE"/>
        <w:numPr>
          <w:ilvl w:val="0"/>
          <w:numId w:val="4"/>
        </w:numPr>
        <w:ind w:left="1260"/>
      </w:pPr>
      <w:r>
        <w:t>Is prepared to testify as to the fairness of the investigation, the authenticity of the evidence, and the contents of the investigation report.</w:t>
      </w:r>
    </w:p>
    <w:p w:rsidR="00651930" w:rsidRDefault="00651930"/>
    <w:sectPr w:rsidR="00651930" w:rsidSect="0065193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C08" w:rsidRDefault="00875584">
    <w:pPr>
      <w:pStyle w:val="Footer"/>
      <w:tabs>
        <w:tab w:val="clear" w:pos="4320"/>
        <w:tab w:val="clear" w:pos="8640"/>
        <w:tab w:val="right" w:pos="9000"/>
      </w:tabs>
    </w:pPr>
  </w:p>
  <w:p w:rsidR="005F0C08" w:rsidRDefault="00875584">
    <w:pPr>
      <w:pStyle w:val="Footer"/>
      <w:tabs>
        <w:tab w:val="clear" w:pos="4320"/>
        <w:tab w:val="clear" w:pos="8640"/>
        <w:tab w:val="right" w:pos="9000"/>
      </w:tabs>
    </w:pPr>
    <w:r>
      <w:t>2:260-AP1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of </w:t>
    </w:r>
    <w:fldSimple w:instr=" SECTIONPAGES   \* MERGEFORMAT ">
      <w:r>
        <w:rPr>
          <w:noProof/>
        </w:rPr>
        <w:t>3</w:t>
      </w:r>
    </w:fldSimple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D40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03F159FD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1629616F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3">
    <w:nsid w:val="17CC2741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4">
    <w:nsid w:val="18342C57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5">
    <w:nsid w:val="212F536E"/>
    <w:multiLevelType w:val="singleLevel"/>
    <w:tmpl w:val="FB685826"/>
    <w:lvl w:ilvl="0">
      <w:start w:val="1"/>
      <w:numFmt w:val="lowerLetter"/>
      <w:lvlText w:val="%1."/>
      <w:legacy w:legacy="1" w:legacySpace="0" w:legacyIndent="360"/>
      <w:lvlJc w:val="left"/>
      <w:pPr>
        <w:ind w:left="1080" w:hanging="360"/>
      </w:pPr>
    </w:lvl>
  </w:abstractNum>
  <w:abstractNum w:abstractNumId="6">
    <w:nsid w:val="2EFA7652"/>
    <w:multiLevelType w:val="singleLevel"/>
    <w:tmpl w:val="EE9A0C7A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0904C36"/>
    <w:multiLevelType w:val="singleLevel"/>
    <w:tmpl w:val="477E0F92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8">
    <w:nsid w:val="5AE830B4"/>
    <w:multiLevelType w:val="singleLevel"/>
    <w:tmpl w:val="10AE4966"/>
    <w:lvl w:ilvl="0">
      <w:start w:val="1"/>
      <w:numFmt w:val="decimal"/>
      <w:lvlText w:val="Step %1:"/>
      <w:lvlJc w:val="left"/>
      <w:pPr>
        <w:tabs>
          <w:tab w:val="num" w:pos="72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584"/>
    <w:rsid w:val="00651930"/>
    <w:rsid w:val="0087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8"/>
      <w:szCs w:val="20"/>
    </w:rPr>
  </w:style>
  <w:style w:type="paragraph" w:styleId="Heading1">
    <w:name w:val="heading 1"/>
    <w:basedOn w:val="Normal"/>
    <w:next w:val="Normal"/>
    <w:link w:val="Heading1Char"/>
    <w:qFormat/>
    <w:rsid w:val="00875584"/>
    <w:pPr>
      <w:keepNext/>
      <w:spacing w:after="120"/>
      <w:jc w:val="center"/>
      <w:outlineLvl w:val="0"/>
    </w:pPr>
    <w:rPr>
      <w:rFonts w:ascii="Arial" w:hAnsi="Arial"/>
      <w:b/>
      <w:sz w:val="28"/>
      <w:u w:val="single"/>
    </w:rPr>
  </w:style>
  <w:style w:type="paragraph" w:styleId="Heading2">
    <w:name w:val="heading 2"/>
    <w:basedOn w:val="Normal"/>
    <w:next w:val="BodyText"/>
    <w:link w:val="Heading2Char"/>
    <w:qFormat/>
    <w:rsid w:val="00875584"/>
    <w:pPr>
      <w:keepNext/>
      <w:spacing w:before="120" w:after="12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584"/>
    <w:rPr>
      <w:rFonts w:ascii="Arial" w:eastAsia="Times New Roman" w:hAnsi="Arial" w:cs="Times New Roman"/>
      <w:b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875584"/>
    <w:rPr>
      <w:rFonts w:ascii="Arial" w:eastAsia="Times New Roman" w:hAnsi="Arial" w:cs="Times New Roman"/>
      <w:b/>
      <w:kern w:val="28"/>
      <w:szCs w:val="20"/>
      <w:u w:val="single"/>
    </w:rPr>
  </w:style>
  <w:style w:type="paragraph" w:styleId="BodyText">
    <w:name w:val="Body Text"/>
    <w:basedOn w:val="Normal"/>
    <w:link w:val="BodyTextChar"/>
    <w:rsid w:val="00875584"/>
    <w:pPr>
      <w:spacing w:before="60" w:after="60"/>
      <w:jc w:val="both"/>
    </w:pPr>
  </w:style>
  <w:style w:type="character" w:customStyle="1" w:styleId="BodyTextChar">
    <w:name w:val="Body Text Char"/>
    <w:basedOn w:val="DefaultParagraphFont"/>
    <w:link w:val="BodyText"/>
    <w:rsid w:val="00875584"/>
    <w:rPr>
      <w:rFonts w:ascii="Times New Roman" w:eastAsia="Times New Roman" w:hAnsi="Times New Roman" w:cs="Times New Roman"/>
      <w:kern w:val="28"/>
      <w:szCs w:val="20"/>
    </w:rPr>
  </w:style>
  <w:style w:type="paragraph" w:customStyle="1" w:styleId="LISTALPHADOUBLE">
    <w:name w:val="LIST ALPHA DOUBLE"/>
    <w:basedOn w:val="Normal"/>
    <w:next w:val="Normal"/>
    <w:link w:val="LISTALPHADOUBLEChar"/>
    <w:rsid w:val="00875584"/>
    <w:pPr>
      <w:spacing w:before="60" w:after="60"/>
      <w:ind w:left="360" w:hanging="360"/>
      <w:jc w:val="both"/>
    </w:pPr>
  </w:style>
  <w:style w:type="paragraph" w:customStyle="1" w:styleId="ListAlphaLower">
    <w:name w:val="List Alpha Lower"/>
    <w:basedOn w:val="Normal"/>
    <w:link w:val="ListAlphaLowerChar"/>
    <w:rsid w:val="00875584"/>
    <w:pPr>
      <w:ind w:left="1080" w:hanging="360"/>
      <w:jc w:val="both"/>
    </w:pPr>
  </w:style>
  <w:style w:type="paragraph" w:styleId="ListNumber2">
    <w:name w:val="List Number 2"/>
    <w:basedOn w:val="Normal"/>
    <w:link w:val="ListNumber2Char"/>
    <w:rsid w:val="00875584"/>
    <w:pPr>
      <w:ind w:left="720" w:hanging="360"/>
      <w:jc w:val="both"/>
    </w:pPr>
  </w:style>
  <w:style w:type="paragraph" w:customStyle="1" w:styleId="LISTNUMBERDOUBLE">
    <w:name w:val="LIST NUMBER DOUBLE"/>
    <w:basedOn w:val="ListNumber2"/>
    <w:rsid w:val="00875584"/>
    <w:pPr>
      <w:spacing w:before="60" w:after="60"/>
    </w:pPr>
  </w:style>
  <w:style w:type="paragraph" w:styleId="Footer">
    <w:name w:val="footer"/>
    <w:basedOn w:val="Normal"/>
    <w:link w:val="FooterChar"/>
    <w:rsid w:val="008755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75584"/>
    <w:rPr>
      <w:rFonts w:ascii="Times New Roman" w:eastAsia="Times New Roman" w:hAnsi="Times New Roman" w:cs="Times New Roman"/>
      <w:kern w:val="28"/>
      <w:szCs w:val="20"/>
    </w:rPr>
  </w:style>
  <w:style w:type="character" w:styleId="HTMLCode">
    <w:name w:val="HTML Code"/>
    <w:rsid w:val="00875584"/>
    <w:rPr>
      <w:rFonts w:ascii="Courier New" w:eastAsia="Times New Roman" w:hAnsi="Courier New" w:cs="Courier New"/>
      <w:sz w:val="20"/>
      <w:szCs w:val="20"/>
    </w:rPr>
  </w:style>
  <w:style w:type="character" w:customStyle="1" w:styleId="LISTALPHADOUBLEChar">
    <w:name w:val="LIST ALPHA DOUBLE Char"/>
    <w:link w:val="LISTALPHADOUBLE"/>
    <w:rsid w:val="00875584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Number2Char">
    <w:name w:val="List Number 2 Char"/>
    <w:link w:val="ListNumber2"/>
    <w:rsid w:val="00875584"/>
    <w:rPr>
      <w:rFonts w:ascii="Times New Roman" w:eastAsia="Times New Roman" w:hAnsi="Times New Roman" w:cs="Times New Roman"/>
      <w:kern w:val="28"/>
      <w:szCs w:val="20"/>
    </w:rPr>
  </w:style>
  <w:style w:type="character" w:customStyle="1" w:styleId="ListAlphaLowerChar">
    <w:name w:val="List Alpha Lower Char"/>
    <w:link w:val="ListAlphaLower"/>
    <w:rsid w:val="00875584"/>
    <w:rPr>
      <w:rFonts w:ascii="Times New Roman" w:eastAsia="Times New Roman" w:hAnsi="Times New Roman" w:cs="Times New Roman"/>
      <w:kern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84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ED66C-DD9D-4CD1-917D-74C28B4E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7014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2020-09-23T15:46:00Z</cp:lastPrinted>
  <dcterms:created xsi:type="dcterms:W3CDTF">2020-09-23T15:45:00Z</dcterms:created>
  <dcterms:modified xsi:type="dcterms:W3CDTF">2020-09-23T15:46:00Z</dcterms:modified>
</cp:coreProperties>
</file>