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37" w:rsidRDefault="00291A37" w:rsidP="00291A37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  <w:tab w:val="right" w:pos="9000"/>
        </w:tabs>
        <w:rPr>
          <w:color w:val="000000"/>
        </w:rPr>
      </w:pPr>
      <w:r>
        <w:rPr>
          <w:color w:val="000000"/>
        </w:rPr>
        <w:t>June 2021</w:t>
      </w:r>
      <w:r>
        <w:rPr>
          <w:color w:val="000000"/>
        </w:rPr>
        <w:tab/>
      </w:r>
      <w:r>
        <w:rPr>
          <w:color w:val="000000"/>
        </w:rPr>
        <w:tab/>
        <w:t>2:125-E3</w:t>
      </w:r>
    </w:p>
    <w:p w:rsidR="00291A37" w:rsidRDefault="00291A37" w:rsidP="00291A37">
      <w:pPr>
        <w:tabs>
          <w:tab w:val="right" w:pos="9000"/>
        </w:tabs>
      </w:pPr>
    </w:p>
    <w:p w:rsidR="00291A37" w:rsidRDefault="00291A37" w:rsidP="00291A37">
      <w:pPr>
        <w:pStyle w:val="Heading1"/>
      </w:pPr>
      <w:r>
        <w:t>School Board</w:t>
      </w:r>
    </w:p>
    <w:p w:rsidR="00291A37" w:rsidRDefault="00291A37" w:rsidP="00291A37">
      <w:pPr>
        <w:pStyle w:val="Heading2"/>
        <w:rPr>
          <w:u w:val="none"/>
        </w:rPr>
      </w:pPr>
      <w:r>
        <w:t>Exhibit - Resolution to Regulate Expense Reimbursements</w:t>
      </w:r>
      <w:r>
        <w:rPr>
          <w:u w:val="none"/>
        </w:rPr>
        <w:t xml:space="preserve"> </w:t>
      </w:r>
    </w:p>
    <w:p w:rsidR="00291A37" w:rsidRDefault="00291A37" w:rsidP="00291A3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WHEREAS, Section 10-20 of the School Code (105 ILCS 5/10-20) grants school boards other powers that are not inconsistent with their duties;</w:t>
      </w:r>
    </w:p>
    <w:p w:rsidR="00291A37" w:rsidRDefault="00291A37" w:rsidP="00291A3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WHEREAS, Section 10 of the Local Government Travel Expense Control Act (50 ILCS 150/) provides that the School Board shall by resolution regulate the reimbursement of all travel, meal, and lodging expenses of officers and employees, including, but not limited to: (1) the types of official business for which travel, meal, and lodging expenses are allowed; (2) maximum allowable reimbursement for travel, meal, and lodging expenses; and (3) a standardized form for submission of travel, meal, and lodging expenses supported with minimum documentation;</w:t>
      </w:r>
    </w:p>
    <w:p w:rsidR="00291A37" w:rsidRDefault="00291A37" w:rsidP="00291A3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WHEREAS, the Board regulates the types of expenses that are allowed in Board Policies 2:125, </w:t>
      </w:r>
      <w:r>
        <w:rPr>
          <w:i/>
          <w:color w:val="000000"/>
        </w:rPr>
        <w:t xml:space="preserve">Board Member Compensation; Expenses </w:t>
      </w:r>
      <w:r>
        <w:rPr>
          <w:color w:val="000000"/>
        </w:rPr>
        <w:t xml:space="preserve">and 5:60, </w:t>
      </w:r>
      <w:r>
        <w:rPr>
          <w:i/>
          <w:color w:val="000000"/>
        </w:rPr>
        <w:t>Expenses</w:t>
      </w:r>
      <w:r>
        <w:rPr>
          <w:color w:val="000000"/>
        </w:rPr>
        <w:t>;</w:t>
      </w:r>
    </w:p>
    <w:p w:rsidR="00291A37" w:rsidRDefault="00291A37" w:rsidP="00291A3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WHEREAS, based upon the School District’s budget and other financial considerations, the Superintendent has recommended to the Board a maximum allowable reimbursement amount of $</w:t>
      </w:r>
      <w:r>
        <w:rPr>
          <w:i/>
          <w:color w:val="000000"/>
          <w:u w:val="single"/>
        </w:rPr>
        <w:t>[amount]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for Board members and District staff;</w:t>
      </w:r>
    </w:p>
    <w:p w:rsidR="00291A37" w:rsidRDefault="00291A37" w:rsidP="00291A3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WHEREAS, the Board requires submission of appropriate standardized expense forms supported with required written minimum documentation (50 ILCS 150/10 and 20);</w:t>
      </w:r>
    </w:p>
    <w:p w:rsidR="00291A37" w:rsidRDefault="00291A37" w:rsidP="00291A3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WHEREAS, submitted expenses that exceed the Board’s maximum allowable reimbursement amount may be approved by a roll call vote at an open meeting of the Board when an emergency or other extraordinary circumstance exists (50 ILCS 150/10 and 15); </w:t>
      </w:r>
    </w:p>
    <w:p w:rsidR="00291A37" w:rsidRDefault="00291A37" w:rsidP="00291A3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WHEREAS, all Board member expenses must be approved by a roll call vote at an open meeting of the Board (50 ILCS 150/15);</w:t>
      </w:r>
    </w:p>
    <w:p w:rsidR="00291A37" w:rsidRDefault="00291A37" w:rsidP="00291A37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000000"/>
        </w:rPr>
      </w:pPr>
      <w:r>
        <w:rPr>
          <w:color w:val="000000"/>
        </w:rPr>
        <w:t xml:space="preserve">THEREFORE, BE IT </w:t>
      </w:r>
      <w:proofErr w:type="gramStart"/>
      <w:r>
        <w:rPr>
          <w:color w:val="000000"/>
        </w:rPr>
        <w:t>RESOLVED,</w:t>
      </w:r>
      <w:proofErr w:type="gramEnd"/>
      <w:r>
        <w:rPr>
          <w:color w:val="000000"/>
        </w:rPr>
        <w:t xml:space="preserve"> that the Board hereby: </w:t>
      </w:r>
    </w:p>
    <w:p w:rsidR="00291A37" w:rsidRDefault="00291A37" w:rsidP="00291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20"/>
        <w:ind w:left="360"/>
        <w:jc w:val="both"/>
        <w:rPr>
          <w:color w:val="000000"/>
        </w:rPr>
      </w:pPr>
      <w:r>
        <w:rPr>
          <w:color w:val="000000"/>
        </w:rPr>
        <w:t xml:space="preserve">Defines and sets the types of allowable expenses through Board policies 2:125, </w:t>
      </w:r>
      <w:r>
        <w:rPr>
          <w:i/>
          <w:color w:val="000000"/>
        </w:rPr>
        <w:t>Board Member Compensation; Expenses</w:t>
      </w:r>
      <w:r>
        <w:rPr>
          <w:color w:val="000000"/>
        </w:rPr>
        <w:t xml:space="preserve"> and 5:60, </w:t>
      </w:r>
      <w:r>
        <w:rPr>
          <w:i/>
          <w:color w:val="000000"/>
        </w:rPr>
        <w:t>Expenses</w:t>
      </w:r>
      <w:r>
        <w:rPr>
          <w:color w:val="000000"/>
        </w:rPr>
        <w:t xml:space="preserve">. </w:t>
      </w:r>
    </w:p>
    <w:p w:rsidR="00291A37" w:rsidRDefault="00291A37" w:rsidP="00291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20"/>
        <w:ind w:left="360"/>
        <w:jc w:val="both"/>
        <w:rPr>
          <w:color w:val="000000"/>
        </w:rPr>
      </w:pPr>
      <w:r>
        <w:rPr>
          <w:color w:val="000000"/>
        </w:rPr>
        <w:t>Sets the maximum allowable reimbursement for travel, meal, and lodging expenses to an amount not to exceed $</w:t>
      </w:r>
      <w:r>
        <w:rPr>
          <w:i/>
          <w:color w:val="000000"/>
          <w:u w:val="single"/>
        </w:rPr>
        <w:t>[amount]</w:t>
      </w:r>
      <w:r>
        <w:rPr>
          <w:color w:val="000000"/>
          <w:u w:val="single"/>
        </w:rPr>
        <w:tab/>
      </w:r>
      <w:r>
        <w:rPr>
          <w:color w:val="000000"/>
        </w:rPr>
        <w:t xml:space="preserve">, effective on </w:t>
      </w:r>
      <w:r>
        <w:rPr>
          <w:i/>
          <w:color w:val="000000"/>
          <w:u w:val="single"/>
        </w:rPr>
        <w:t>[date]</w:t>
      </w:r>
      <w:r>
        <w:rPr>
          <w:color w:val="000000"/>
          <w:u w:val="single"/>
        </w:rPr>
        <w:tab/>
      </w:r>
      <w:r>
        <w:rPr>
          <w:color w:val="000000"/>
        </w:rPr>
        <w:t xml:space="preserve"> until the Resolution is rescinded or replaced by the Board.</w:t>
      </w:r>
    </w:p>
    <w:p w:rsidR="00291A37" w:rsidRDefault="00291A37" w:rsidP="00291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20"/>
        <w:ind w:left="360"/>
        <w:jc w:val="both"/>
        <w:rPr>
          <w:color w:val="000000"/>
        </w:rPr>
      </w:pPr>
      <w:r>
        <w:rPr>
          <w:color w:val="000000"/>
        </w:rPr>
        <w:t xml:space="preserve">Supersedes its previously adopted </w:t>
      </w:r>
      <w:r>
        <w:rPr>
          <w:i/>
          <w:color w:val="000000"/>
        </w:rPr>
        <w:t>Resolution to Regulate Expense Reimbursements</w:t>
      </w:r>
      <w:r>
        <w:rPr>
          <w:color w:val="000000"/>
        </w:rPr>
        <w:t xml:space="preserve"> as of the effective date in paragraph two above.</w:t>
      </w:r>
    </w:p>
    <w:p w:rsidR="00291A37" w:rsidRDefault="00291A37" w:rsidP="00291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20"/>
        <w:ind w:left="360"/>
        <w:jc w:val="both"/>
        <w:rPr>
          <w:color w:val="000000"/>
        </w:rPr>
      </w:pPr>
      <w:r>
        <w:rPr>
          <w:color w:val="000000"/>
        </w:rPr>
        <w:t xml:space="preserve">Requires use of Board exhibits 2:125-E1, </w:t>
      </w:r>
      <w:r>
        <w:rPr>
          <w:i/>
          <w:color w:val="000000"/>
        </w:rPr>
        <w:t>Board Member Expense Reimbursement Form</w:t>
      </w:r>
      <w:r>
        <w:rPr>
          <w:color w:val="000000"/>
        </w:rPr>
        <w:t xml:space="preserve">; 2:125-E2, </w:t>
      </w:r>
      <w:r>
        <w:rPr>
          <w:i/>
          <w:color w:val="000000"/>
        </w:rPr>
        <w:t>Board Member Estimated Expense Approval Form</w:t>
      </w:r>
      <w:r>
        <w:rPr>
          <w:color w:val="000000"/>
        </w:rPr>
        <w:t xml:space="preserve">; 5:60-E1, </w:t>
      </w:r>
      <w:r>
        <w:rPr>
          <w:i/>
          <w:color w:val="000000"/>
        </w:rPr>
        <w:t>Employee Expense Reimbursement Form</w:t>
      </w:r>
      <w:r>
        <w:rPr>
          <w:color w:val="000000"/>
        </w:rPr>
        <w:t xml:space="preserve">; and 5:60-E2, </w:t>
      </w:r>
      <w:r>
        <w:rPr>
          <w:i/>
          <w:color w:val="000000"/>
        </w:rPr>
        <w:t>Employee Estimated Expense Approval Form</w:t>
      </w:r>
      <w:r>
        <w:rPr>
          <w:color w:val="000000"/>
        </w:rPr>
        <w:t xml:space="preserve">. </w:t>
      </w:r>
    </w:p>
    <w:p w:rsidR="00291A37" w:rsidRDefault="00291A37" w:rsidP="00291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20"/>
        <w:ind w:left="360"/>
        <w:jc w:val="both"/>
        <w:rPr>
          <w:color w:val="000000"/>
        </w:rPr>
      </w:pPr>
      <w:r>
        <w:rPr>
          <w:color w:val="000000"/>
        </w:rPr>
        <w:t xml:space="preserve">May approve expenses that exceed the Board’s maximum allowable reimbursement amount by a roll call vote at an open meeting when an emergency or other extraordinary circumstance exists. </w:t>
      </w:r>
    </w:p>
    <w:p w:rsidR="00291A37" w:rsidRDefault="00291A37" w:rsidP="00291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20"/>
        <w:ind w:left="360"/>
        <w:jc w:val="both"/>
        <w:rPr>
          <w:color w:val="000000"/>
        </w:rPr>
      </w:pPr>
      <w:r>
        <w:rPr>
          <w:color w:val="000000"/>
        </w:rPr>
        <w:t>Must approve its members’ expenses by a roll call vote at an open meeting.</w:t>
      </w:r>
    </w:p>
    <w:p w:rsidR="00291A37" w:rsidRDefault="00291A37" w:rsidP="00291A37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color w:val="000000"/>
        </w:rPr>
      </w:pPr>
      <w:r>
        <w:rPr>
          <w:color w:val="000000"/>
        </w:rPr>
        <w:t>Attested by</w:t>
      </w:r>
      <w:proofErr w:type="gramStart"/>
      <w:r>
        <w:rPr>
          <w:color w:val="000000"/>
        </w:rPr>
        <w:t xml:space="preserve">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Board President</w:t>
      </w:r>
    </w:p>
    <w:p w:rsidR="00A7401A" w:rsidRDefault="00291A37" w:rsidP="00291A37">
      <w:pPr>
        <w:spacing w:before="200"/>
      </w:pPr>
      <w:r>
        <w:t>Attested by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Board Secretary</w:t>
      </w:r>
    </w:p>
    <w:sectPr w:rsidR="00A7401A" w:rsidSect="00A740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379" w:rsidRDefault="00084379" w:rsidP="000439CE">
      <w:r>
        <w:separator/>
      </w:r>
    </w:p>
  </w:endnote>
  <w:endnote w:type="continuationSeparator" w:id="0">
    <w:p w:rsidR="00084379" w:rsidRDefault="00084379" w:rsidP="0004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37" w:rsidRDefault="00291A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</w:p>
  <w:p w:rsidR="00291A37" w:rsidRDefault="00291A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  <w:r>
      <w:rPr>
        <w:color w:val="000000"/>
      </w:rPr>
      <w:t>2:125-E3</w:t>
    </w: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379" w:rsidRDefault="00084379" w:rsidP="000439CE">
      <w:r>
        <w:separator/>
      </w:r>
    </w:p>
  </w:footnote>
  <w:footnote w:type="continuationSeparator" w:id="0">
    <w:p w:rsidR="00084379" w:rsidRDefault="00084379" w:rsidP="00043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0C57"/>
    <w:multiLevelType w:val="multilevel"/>
    <w:tmpl w:val="10EEC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A68"/>
    <w:rsid w:val="000439CE"/>
    <w:rsid w:val="00084379"/>
    <w:rsid w:val="00291A37"/>
    <w:rsid w:val="00432A68"/>
    <w:rsid w:val="008A66FB"/>
    <w:rsid w:val="00A7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</w:rPr>
  </w:style>
  <w:style w:type="paragraph" w:styleId="Heading1">
    <w:name w:val="heading 1"/>
    <w:basedOn w:val="Normal"/>
    <w:next w:val="Normal"/>
    <w:link w:val="Heading1Char"/>
    <w:qFormat/>
    <w:rsid w:val="00291A37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291A37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1A37"/>
    <w:rPr>
      <w:rFonts w:ascii="Arial" w:eastAsia="Times New Roman" w:hAnsi="Arial" w:cs="Times New Roman"/>
      <w:b/>
      <w:kern w:val="28"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291A37"/>
    <w:rPr>
      <w:rFonts w:ascii="Arial" w:eastAsia="Times New Roman" w:hAnsi="Arial" w:cs="Times New Roman"/>
      <w:b/>
      <w:kern w:val="28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91A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1A37"/>
    <w:rPr>
      <w:rFonts w:ascii="Times New Roman" w:eastAsia="Times New Roman" w:hAnsi="Times New Roman" w:cs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C565E-D35A-4811-90DD-8634BEBB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2022-05-23T13:55:00Z</dcterms:created>
  <dcterms:modified xsi:type="dcterms:W3CDTF">2022-05-23T13:55:00Z</dcterms:modified>
</cp:coreProperties>
</file>