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62" w:rsidRDefault="003B6C47">
      <w:pPr>
        <w:pBdr>
          <w:bottom w:val="single" w:sz="4" w:space="1" w:color="000000"/>
        </w:pBdr>
        <w:tabs>
          <w:tab w:val="right" w:pos="9000"/>
        </w:tabs>
      </w:pPr>
      <w:r>
        <w:t>Sparta CUSD 140</w:t>
      </w:r>
      <w:r>
        <w:tab/>
        <w:t>2:200-AP</w:t>
      </w:r>
    </w:p>
    <w:p w:rsidR="00BC2862" w:rsidRDefault="00BC2862">
      <w:pPr>
        <w:tabs>
          <w:tab w:val="right" w:pos="9000"/>
        </w:tabs>
      </w:pPr>
    </w:p>
    <w:p w:rsidR="00BC2862" w:rsidRDefault="003B6C47">
      <w:pPr>
        <w:pStyle w:val="Heading10"/>
        <w:rPr>
          <w:sz w:val="24"/>
          <w:szCs w:val="24"/>
        </w:rPr>
      </w:pPr>
      <w:r>
        <w:rPr>
          <w:sz w:val="24"/>
          <w:szCs w:val="24"/>
        </w:rPr>
        <w:t>School Board</w:t>
      </w:r>
    </w:p>
    <w:p w:rsidR="00BC2862" w:rsidRDefault="003B6C47">
      <w:pPr>
        <w:pStyle w:val="Heading20"/>
        <w:rPr>
          <w:sz w:val="24"/>
          <w:szCs w:val="24"/>
        </w:rPr>
      </w:pPr>
      <w:r>
        <w:rPr>
          <w:sz w:val="24"/>
          <w:szCs w:val="24"/>
        </w:rPr>
        <w:t>Administrative Procedure - Types of School Board Meetings</w:t>
      </w:r>
    </w:p>
    <w:tbl>
      <w:tblPr>
        <w:tblStyle w:val="Table1"/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22"/>
        <w:gridCol w:w="3060"/>
        <w:gridCol w:w="1440"/>
        <w:gridCol w:w="1710"/>
        <w:gridCol w:w="1440"/>
      </w:tblGrid>
      <w:tr w:rsidR="00BC2862">
        <w:tc>
          <w:tcPr>
            <w:tcW w:w="1422" w:type="dxa"/>
          </w:tcPr>
          <w:p w:rsidR="00BC2862" w:rsidRDefault="003B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Meeting Type</w:t>
            </w:r>
          </w:p>
        </w:tc>
        <w:tc>
          <w:tcPr>
            <w:tcW w:w="3060" w:type="dxa"/>
          </w:tcPr>
          <w:p w:rsidR="00BC2862" w:rsidRDefault="003B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Notice</w:t>
            </w:r>
          </w:p>
        </w:tc>
        <w:tc>
          <w:tcPr>
            <w:tcW w:w="1440" w:type="dxa"/>
          </w:tcPr>
          <w:p w:rsidR="00BC2862" w:rsidRDefault="003B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710" w:type="dxa"/>
          </w:tcPr>
          <w:p w:rsidR="00BC2862" w:rsidRDefault="003B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Notice to News Media</w:t>
            </w:r>
          </w:p>
        </w:tc>
        <w:tc>
          <w:tcPr>
            <w:tcW w:w="1440" w:type="dxa"/>
          </w:tcPr>
          <w:p w:rsidR="00BC2862" w:rsidRDefault="003B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District’s Website </w:t>
            </w:r>
          </w:p>
        </w:tc>
      </w:tr>
      <w:tr w:rsidR="00BC2862">
        <w:tc>
          <w:tcPr>
            <w:tcW w:w="1422" w:type="dxa"/>
          </w:tcPr>
          <w:p w:rsidR="00BC2862" w:rsidRDefault="003B6C47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Regular</w:t>
            </w:r>
          </w:p>
        </w:tc>
        <w:tc>
          <w:tcPr>
            <w:tcW w:w="3060" w:type="dxa"/>
          </w:tcPr>
          <w:p w:rsidR="00BC2862" w:rsidRDefault="003B6C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once a year when the Board adopts its regular meeting schedule.</w:t>
            </w:r>
          </w:p>
          <w:p w:rsidR="00BC2862" w:rsidRDefault="003B6C4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ILCS </w:t>
            </w:r>
            <w:r>
              <w:rPr>
                <w:sz w:val="24"/>
                <w:szCs w:val="24"/>
              </w:rPr>
              <w:t>5/10-6, 5/10-16.</w:t>
            </w:r>
          </w:p>
          <w:p w:rsidR="00BC2862" w:rsidRDefault="003B6C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notice and agenda must be continuously available for public review during the entire 48-hour period before the meeting. Posting on the District’s website satisfies the requirement for continuous posting. However, to comply with the leg</w:t>
            </w:r>
            <w:r>
              <w:rPr>
                <w:sz w:val="24"/>
                <w:szCs w:val="24"/>
              </w:rPr>
              <w:t xml:space="preserve">islative intent, posting on the District’s website does not replace the posting described in the </w:t>
            </w:r>
            <w:r>
              <w:rPr>
                <w:b/>
                <w:sz w:val="24"/>
                <w:szCs w:val="24"/>
              </w:rPr>
              <w:t xml:space="preserve">Agenda </w:t>
            </w:r>
            <w:r>
              <w:rPr>
                <w:sz w:val="24"/>
                <w:szCs w:val="24"/>
              </w:rPr>
              <w:t>column.</w:t>
            </w:r>
          </w:p>
          <w:p w:rsidR="00BC2862" w:rsidRDefault="003B6C4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ILCS 120/2.02.  </w:t>
            </w:r>
          </w:p>
        </w:tc>
        <w:tc>
          <w:tcPr>
            <w:tcW w:w="1440" w:type="dxa"/>
          </w:tcPr>
          <w:p w:rsidR="00BC2862" w:rsidRDefault="003B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 at the District’s main office and at the meeting site, at least 48 hours before the meeting.</w:t>
            </w:r>
          </w:p>
          <w:p w:rsidR="00BC2862" w:rsidRDefault="003B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ILCS 120/2.02.</w:t>
            </w:r>
          </w:p>
        </w:tc>
        <w:tc>
          <w:tcPr>
            <w:tcW w:w="1710" w:type="dxa"/>
          </w:tcPr>
          <w:p w:rsidR="00BC2862" w:rsidRDefault="003B6C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to any news media that filed an annual request for such notices. </w:t>
            </w:r>
          </w:p>
          <w:p w:rsidR="00BC2862" w:rsidRDefault="003B6C4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ILCS 120/2.02.</w:t>
            </w:r>
          </w:p>
        </w:tc>
        <w:tc>
          <w:tcPr>
            <w:tcW w:w="1440" w:type="dxa"/>
          </w:tcPr>
          <w:p w:rsidR="00BC2862" w:rsidRDefault="003B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 the annual schedule of regular meetings and post a public notice of each meeting along with the meeting agenda.</w:t>
            </w:r>
          </w:p>
          <w:p w:rsidR="00BC2862" w:rsidRDefault="003B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ILCS 120/2.02.</w:t>
            </w:r>
          </w:p>
          <w:p w:rsidR="00BC2862" w:rsidRDefault="003B6C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regular Board meeting minutes</w:t>
            </w:r>
            <w:r>
              <w:rPr>
                <w:sz w:val="24"/>
                <w:szCs w:val="24"/>
              </w:rPr>
              <w:t xml:space="preserve"> within 10 days after approval; the minutes remain there for at least 60 days.</w:t>
            </w:r>
          </w:p>
          <w:p w:rsidR="00BC2862" w:rsidRDefault="003B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ILCS 120/2.06.</w:t>
            </w:r>
          </w:p>
        </w:tc>
      </w:tr>
      <w:tr w:rsidR="00BC2862">
        <w:tc>
          <w:tcPr>
            <w:tcW w:w="1422" w:type="dxa"/>
          </w:tcPr>
          <w:p w:rsidR="00BC2862" w:rsidRDefault="003B6C47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</w:t>
            </w:r>
          </w:p>
        </w:tc>
        <w:tc>
          <w:tcPr>
            <w:tcW w:w="3060" w:type="dxa"/>
          </w:tcPr>
          <w:p w:rsidR="00BC2862" w:rsidRDefault="003B6C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a notice at the District’s main office or, if no main office exists, at the meeting site, at least 48 hours before the meeting.</w:t>
            </w:r>
          </w:p>
          <w:p w:rsidR="00BC2862" w:rsidRDefault="003B6C4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ILCS 120/2.02. </w:t>
            </w:r>
          </w:p>
          <w:p w:rsidR="00BC2862" w:rsidRDefault="003B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notice and agenda must be continuously available and/or posted on the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District’s website as provided in the </w:t>
            </w:r>
          </w:p>
          <w:p w:rsidR="00BC2862" w:rsidRDefault="003B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Regular</w:t>
            </w:r>
            <w:r>
              <w:rPr>
                <w:color w:val="000000"/>
                <w:sz w:val="24"/>
                <w:szCs w:val="24"/>
              </w:rPr>
              <w:t xml:space="preserve"> meeting row.  </w:t>
            </w:r>
          </w:p>
          <w:p w:rsidR="00BC2862" w:rsidRDefault="003B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Notice to Board members must be served by mail 48 hours before the meeting or by personal service 24 hours before the </w:t>
            </w:r>
            <w:r>
              <w:rPr>
                <w:color w:val="000000"/>
                <w:sz w:val="24"/>
                <w:szCs w:val="24"/>
              </w:rPr>
              <w:t>meeting.</w:t>
            </w:r>
          </w:p>
          <w:p w:rsidR="00BC2862" w:rsidRDefault="003B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ILCS 5/10-16.</w:t>
            </w:r>
          </w:p>
        </w:tc>
        <w:tc>
          <w:tcPr>
            <w:tcW w:w="1440" w:type="dxa"/>
          </w:tcPr>
          <w:p w:rsidR="00BC2862" w:rsidRDefault="003B6C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Include with the public notice.  </w:t>
            </w:r>
          </w:p>
          <w:p w:rsidR="00BC2862" w:rsidRDefault="003B6C4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ILCS 120/2.02.</w:t>
            </w:r>
          </w:p>
        </w:tc>
        <w:tc>
          <w:tcPr>
            <w:tcW w:w="1710" w:type="dxa"/>
          </w:tcPr>
          <w:p w:rsidR="00BC2862" w:rsidRDefault="003B6C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to any news media that files an annual request. Must also give the same notice as that given Board members if the </w:t>
            </w:r>
            <w:r>
              <w:rPr>
                <w:sz w:val="24"/>
                <w:szCs w:val="24"/>
              </w:rPr>
              <w:lastRenderedPageBreak/>
              <w:t>news media provides an address or telephone number within t</w:t>
            </w:r>
            <w:r>
              <w:rPr>
                <w:sz w:val="24"/>
                <w:szCs w:val="24"/>
              </w:rPr>
              <w:t>he District’s jurisdiction.</w:t>
            </w:r>
          </w:p>
          <w:p w:rsidR="00BC2862" w:rsidRDefault="003B6C4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ILCS 120/2.02.</w:t>
            </w:r>
          </w:p>
        </w:tc>
        <w:tc>
          <w:tcPr>
            <w:tcW w:w="1440" w:type="dxa"/>
          </w:tcPr>
          <w:p w:rsidR="00BC2862" w:rsidRDefault="003B6C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Post a public notice of each meeting along with the meeting agenda, at least 48 </w:t>
            </w:r>
            <w:r>
              <w:rPr>
                <w:sz w:val="24"/>
                <w:szCs w:val="24"/>
              </w:rPr>
              <w:lastRenderedPageBreak/>
              <w:t xml:space="preserve">hours before the meeting. The notice and agenda must remain posted on the website until the meeting is concluded. </w:t>
            </w:r>
          </w:p>
          <w:p w:rsidR="00BC2862" w:rsidRDefault="003B6C4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ILCS 120/2.02.</w:t>
            </w:r>
          </w:p>
        </w:tc>
      </w:tr>
      <w:tr w:rsidR="00BC2862">
        <w:tc>
          <w:tcPr>
            <w:tcW w:w="1422" w:type="dxa"/>
          </w:tcPr>
          <w:p w:rsidR="00BC2862" w:rsidRDefault="003B6C47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Emergency</w:t>
            </w:r>
          </w:p>
        </w:tc>
        <w:tc>
          <w:tcPr>
            <w:tcW w:w="3060" w:type="dxa"/>
          </w:tcPr>
          <w:p w:rsidR="00BC2862" w:rsidRDefault="003B6C47">
            <w:pPr>
              <w:widowControl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the notice at the District’s main office or, if no main office exists, at the meeting site, as soon as practicable before the meeting.   </w:t>
            </w:r>
          </w:p>
          <w:p w:rsidR="00BC2862" w:rsidRDefault="003B6C47">
            <w:pPr>
              <w:widowControl w:val="0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ILCS 120/2.02. </w:t>
            </w:r>
          </w:p>
          <w:p w:rsidR="00BC2862" w:rsidRDefault="003B6C4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notice and agenda must be continuously available and/or posted on the District’s website as provided in the </w:t>
            </w:r>
            <w:r>
              <w:rPr>
                <w:b/>
                <w:sz w:val="24"/>
                <w:szCs w:val="24"/>
              </w:rPr>
              <w:t>Regular</w:t>
            </w:r>
            <w:r>
              <w:rPr>
                <w:sz w:val="24"/>
                <w:szCs w:val="24"/>
              </w:rPr>
              <w:t xml:space="preserve"> meeting row. </w:t>
            </w:r>
          </w:p>
          <w:p w:rsidR="00BC2862" w:rsidRDefault="003B6C4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specific notice to Board members is specified, but it is advisable to provide the notice as soon as possible.</w:t>
            </w:r>
          </w:p>
        </w:tc>
        <w:tc>
          <w:tcPr>
            <w:tcW w:w="1440" w:type="dxa"/>
          </w:tcPr>
          <w:p w:rsidR="00BC2862" w:rsidRDefault="003B6C4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State </w:t>
            </w:r>
            <w:r>
              <w:rPr>
                <w:sz w:val="24"/>
                <w:szCs w:val="24"/>
              </w:rPr>
              <w:t>law requirements.</w:t>
            </w:r>
          </w:p>
        </w:tc>
        <w:tc>
          <w:tcPr>
            <w:tcW w:w="1710" w:type="dxa"/>
          </w:tcPr>
          <w:p w:rsidR="00BC2862" w:rsidRDefault="003B6C4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for special meetings.</w:t>
            </w:r>
          </w:p>
        </w:tc>
        <w:tc>
          <w:tcPr>
            <w:tcW w:w="1440" w:type="dxa"/>
          </w:tcPr>
          <w:p w:rsidR="00BC2862" w:rsidRDefault="003B6C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a public notice.  </w:t>
            </w:r>
          </w:p>
          <w:p w:rsidR="00BC2862" w:rsidRDefault="003B6C4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ILCS 120/2.02.</w:t>
            </w:r>
          </w:p>
          <w:p w:rsidR="00BC2862" w:rsidRDefault="00BC2862">
            <w:pPr>
              <w:spacing w:after="60"/>
              <w:rPr>
                <w:sz w:val="24"/>
                <w:szCs w:val="24"/>
              </w:rPr>
            </w:pPr>
          </w:p>
        </w:tc>
      </w:tr>
      <w:tr w:rsidR="00BC2862">
        <w:tc>
          <w:tcPr>
            <w:tcW w:w="1422" w:type="dxa"/>
          </w:tcPr>
          <w:p w:rsidR="00BC2862" w:rsidRDefault="003B6C47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3060" w:type="dxa"/>
          </w:tcPr>
          <w:p w:rsidR="00BC2862" w:rsidRDefault="003B6C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hold a closed meeting, or close a portion of an open meeting, upon a majority vote of a quorum present, taken at a properly noticed open meeting.</w:t>
            </w:r>
          </w:p>
          <w:p w:rsidR="00BC2862" w:rsidRDefault="003B6C4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ILCS </w:t>
            </w:r>
            <w:r>
              <w:rPr>
                <w:sz w:val="24"/>
                <w:szCs w:val="24"/>
              </w:rPr>
              <w:t>120/2a.</w:t>
            </w:r>
          </w:p>
        </w:tc>
        <w:tc>
          <w:tcPr>
            <w:tcW w:w="1440" w:type="dxa"/>
          </w:tcPr>
          <w:p w:rsidR="00BC2862" w:rsidRDefault="003B6C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None required, but only topics specified in the vote to hold the closed meeting may be considered. </w:t>
            </w:r>
          </w:p>
          <w:p w:rsidR="00BC2862" w:rsidRDefault="003B6C4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ILCS 120/2a.</w:t>
            </w:r>
          </w:p>
          <w:p w:rsidR="008504A7" w:rsidRDefault="008504A7">
            <w:pPr>
              <w:spacing w:after="60"/>
              <w:rPr>
                <w:sz w:val="24"/>
                <w:szCs w:val="24"/>
              </w:rPr>
            </w:pPr>
          </w:p>
          <w:p w:rsidR="008504A7" w:rsidRDefault="008504A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C2862" w:rsidRDefault="003B6C4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additional notice required.</w:t>
            </w:r>
          </w:p>
        </w:tc>
        <w:tc>
          <w:tcPr>
            <w:tcW w:w="1440" w:type="dxa"/>
          </w:tcPr>
          <w:p w:rsidR="00BC2862" w:rsidRDefault="003B6C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a public notice.  </w:t>
            </w:r>
          </w:p>
          <w:p w:rsidR="00BC2862" w:rsidRDefault="003B6C4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ILCS 120/2.02.</w:t>
            </w:r>
          </w:p>
          <w:p w:rsidR="00BC2862" w:rsidRDefault="00BC28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C2862">
        <w:tc>
          <w:tcPr>
            <w:tcW w:w="1422" w:type="dxa"/>
          </w:tcPr>
          <w:p w:rsidR="00BC2862" w:rsidRDefault="003B6C47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Rescheduled or Reconvened</w:t>
            </w:r>
          </w:p>
        </w:tc>
        <w:tc>
          <w:tcPr>
            <w:tcW w:w="3060" w:type="dxa"/>
          </w:tcPr>
          <w:p w:rsidR="00BC2862" w:rsidRDefault="003B6C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a notice at the District’s m</w:t>
            </w:r>
            <w:r>
              <w:rPr>
                <w:sz w:val="24"/>
                <w:szCs w:val="24"/>
              </w:rPr>
              <w:t xml:space="preserve">ain office or, if no main office exists, at the meeting site at least 48 hours before the meeting. </w:t>
            </w:r>
          </w:p>
          <w:p w:rsidR="00BC2862" w:rsidRDefault="003B6C4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ILCS 120/2.02.  </w:t>
            </w:r>
          </w:p>
          <w:p w:rsidR="00BC2862" w:rsidRDefault="003B6C4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notice and agenda must be continuously available and/or posted on the District’s website as provided in the </w:t>
            </w:r>
            <w:r>
              <w:rPr>
                <w:b/>
                <w:sz w:val="24"/>
                <w:szCs w:val="24"/>
              </w:rPr>
              <w:t>Regular</w:t>
            </w:r>
            <w:r>
              <w:rPr>
                <w:sz w:val="24"/>
                <w:szCs w:val="24"/>
              </w:rPr>
              <w:t xml:space="preserve"> meeting row.  </w:t>
            </w:r>
          </w:p>
          <w:p w:rsidR="00BC2862" w:rsidRDefault="003B6C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notice is needed when an open meeting is reconvened within 24 hours, or when the time and place of a reconvened meeting was announced at the original meeting and the agenda is not changed. </w:t>
            </w:r>
          </w:p>
          <w:p w:rsidR="00BC2862" w:rsidRDefault="003B6C4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ILCS 120/2.02.</w:t>
            </w:r>
          </w:p>
        </w:tc>
        <w:tc>
          <w:tcPr>
            <w:tcW w:w="1440" w:type="dxa"/>
          </w:tcPr>
          <w:p w:rsidR="00BC2862" w:rsidRDefault="003B6C4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Included with any public notice. </w:t>
            </w:r>
          </w:p>
        </w:tc>
        <w:tc>
          <w:tcPr>
            <w:tcW w:w="1710" w:type="dxa"/>
          </w:tcPr>
          <w:p w:rsidR="00BC2862" w:rsidRDefault="003B6C4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 as for </w:t>
            </w:r>
            <w:r>
              <w:rPr>
                <w:sz w:val="24"/>
                <w:szCs w:val="24"/>
              </w:rPr>
              <w:t>a special meeting.</w:t>
            </w:r>
          </w:p>
        </w:tc>
        <w:tc>
          <w:tcPr>
            <w:tcW w:w="1440" w:type="dxa"/>
          </w:tcPr>
          <w:p w:rsidR="00BC2862" w:rsidRDefault="003B6C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a public notice.  </w:t>
            </w:r>
          </w:p>
          <w:p w:rsidR="00BC2862" w:rsidRDefault="003B6C4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ILCS 120/2.02.</w:t>
            </w:r>
          </w:p>
          <w:p w:rsidR="00BC2862" w:rsidRDefault="00BC2862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BC2862" w:rsidRDefault="00BC2862" w:rsidP="008504A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/>
        <w:rPr>
          <w:color w:val="000000"/>
        </w:rPr>
      </w:pPr>
    </w:p>
    <w:sectPr w:rsidR="00BC2862" w:rsidSect="00BC2862">
      <w:footerReference w:type="default" r:id="rId6"/>
      <w:pgSz w:w="12240" w:h="15840"/>
      <w:pgMar w:top="1440" w:right="1080" w:bottom="1440" w:left="1440" w:header="720" w:footer="720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47" w:rsidRDefault="003B6C47" w:rsidP="00BC2862">
      <w:r>
        <w:separator/>
      </w:r>
    </w:p>
  </w:endnote>
  <w:endnote w:type="continuationSeparator" w:id="0">
    <w:p w:rsidR="003B6C47" w:rsidRDefault="003B6C47" w:rsidP="00BC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62" w:rsidRDefault="00BC28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</w:p>
  <w:p w:rsidR="00BC2862" w:rsidRDefault="003B6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2:200-AP</w:t>
    </w:r>
    <w:r>
      <w:rPr>
        <w:color w:val="000000"/>
      </w:rPr>
      <w:tab/>
    </w:r>
    <w:r>
      <w:rPr>
        <w:color w:val="000000"/>
      </w:rPr>
      <w:tab/>
      <w:t xml:space="preserve">Page </w:t>
    </w:r>
    <w:r w:rsidR="00BC2862">
      <w:rPr>
        <w:color w:val="000000"/>
      </w:rPr>
      <w:fldChar w:fldCharType="begin"/>
    </w:r>
    <w:r>
      <w:rPr>
        <w:color w:val="000000"/>
      </w:rPr>
      <w:instrText>PAGE</w:instrText>
    </w:r>
    <w:r w:rsidR="00BC2862">
      <w:rPr>
        <w:color w:val="000000"/>
      </w:rPr>
      <w:fldChar w:fldCharType="separate"/>
    </w:r>
    <w:r w:rsidR="008504A7">
      <w:rPr>
        <w:noProof/>
        <w:color w:val="000000"/>
      </w:rPr>
      <w:t>3</w:t>
    </w:r>
    <w:r w:rsidR="00BC2862">
      <w:rPr>
        <w:color w:val="000000"/>
      </w:rPr>
      <w:fldChar w:fldCharType="end"/>
    </w:r>
    <w:r>
      <w:rPr>
        <w:color w:val="000000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47" w:rsidRDefault="003B6C47" w:rsidP="00BC2862">
      <w:r>
        <w:separator/>
      </w:r>
    </w:p>
  </w:footnote>
  <w:footnote w:type="continuationSeparator" w:id="0">
    <w:p w:rsidR="003B6C47" w:rsidRDefault="003B6C47" w:rsidP="00BC2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B6C47"/>
    <w:rsid w:val="008504A7"/>
    <w:rsid w:val="00A77B3E"/>
    <w:rsid w:val="00BC2862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8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031B8"/>
    <w:pPr>
      <w:overflowPunct w:val="0"/>
      <w:autoSpaceDE w:val="0"/>
      <w:autoSpaceDN w:val="0"/>
      <w:adjustRightInd w:val="0"/>
      <w:textAlignment w:val="baseline"/>
    </w:pPr>
    <w:rPr>
      <w:kern w:val="28"/>
      <w:sz w:val="22"/>
      <w:szCs w:val="22"/>
    </w:rPr>
  </w:style>
  <w:style w:type="paragraph" w:customStyle="1" w:styleId="Heading10">
    <w:name w:val="Heading 1_0"/>
    <w:basedOn w:val="Normal0"/>
    <w:next w:val="Normal0"/>
    <w:link w:val="Heading1Char"/>
    <w:qFormat/>
    <w:rsid w:val="009031B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character" w:customStyle="1" w:styleId="Heading1Char">
    <w:name w:val="Heading 1 Char"/>
    <w:link w:val="Heading10"/>
    <w:rsid w:val="002F26FF"/>
    <w:rPr>
      <w:rFonts w:ascii="Arial" w:hAnsi="Arial"/>
      <w:b/>
      <w:kern w:val="28"/>
      <w:sz w:val="28"/>
      <w:szCs w:val="22"/>
      <w:u w:val="single"/>
      <w:lang w:val="en-US"/>
    </w:rPr>
  </w:style>
  <w:style w:type="paragraph" w:customStyle="1" w:styleId="Heading20">
    <w:name w:val="Heading 2_0"/>
    <w:basedOn w:val="Normal0"/>
    <w:next w:val="BodyText"/>
    <w:link w:val="Heading2Char"/>
    <w:qFormat/>
    <w:rsid w:val="009031B8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BodyText">
    <w:name w:val="Body Text"/>
    <w:basedOn w:val="Normal0"/>
    <w:link w:val="BodyTextChar"/>
    <w:rsid w:val="009031B8"/>
    <w:pPr>
      <w:spacing w:before="60" w:after="60"/>
      <w:jc w:val="both"/>
    </w:pPr>
  </w:style>
  <w:style w:type="character" w:customStyle="1" w:styleId="BodyTextChar">
    <w:name w:val="Body Text Char"/>
    <w:link w:val="BodyText"/>
    <w:rsid w:val="002F26FF"/>
    <w:rPr>
      <w:kern w:val="28"/>
      <w:sz w:val="22"/>
      <w:szCs w:val="22"/>
      <w:lang w:val="en-US"/>
    </w:rPr>
  </w:style>
  <w:style w:type="character" w:customStyle="1" w:styleId="Heading2Char">
    <w:name w:val="Heading 2 Char"/>
    <w:link w:val="Heading20"/>
    <w:rsid w:val="002F26FF"/>
    <w:rPr>
      <w:rFonts w:ascii="Arial" w:hAnsi="Arial"/>
      <w:b/>
      <w:kern w:val="28"/>
      <w:sz w:val="22"/>
      <w:szCs w:val="22"/>
      <w:u w:val="single"/>
      <w:lang w:val="en-US"/>
    </w:rPr>
  </w:style>
  <w:style w:type="table" w:customStyle="1" w:styleId="TableNormal0">
    <w:name w:val="Table Normal_0"/>
    <w:uiPriority w:val="99"/>
    <w:semiHidden/>
    <w:unhideWhenUsed/>
    <w:qFormat/>
    <w:rsid w:val="00BC2862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">
    <w:name w:val="Table1"/>
    <w:basedOn w:val="TableNormal0"/>
    <w:rsid w:val="00BC286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Windows User</cp:lastModifiedBy>
  <cp:revision>2</cp:revision>
  <dcterms:created xsi:type="dcterms:W3CDTF">2021-10-05T15:19:00Z</dcterms:created>
  <dcterms:modified xsi:type="dcterms:W3CDTF">2021-10-05T15:19:00Z</dcterms:modified>
</cp:coreProperties>
</file>